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September 30, 2022</w:t>
      </w:r>
      <w:r w:rsidDel="00000000" w:rsidR="00000000" w:rsidRPr="00000000">
        <w:rPr>
          <w:rtl w:val="0"/>
        </w:rPr>
        <w:t xml:space="preserve"> | 8:00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9-23-2022)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Overview of Steering Committee Meeting (9-26-2022)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Handbook Changes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Formatting Changes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Access to Student Fee Paying Students in the semesters they do not pay Student Fee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an Out-of-Class Experience?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Environment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Internal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Fee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UPAC Appeals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-228591</wp:posOffset>
          </wp:positionH>
          <wp:positionV relativeFrom="margin">
            <wp:posOffset>-695205</wp:posOffset>
          </wp:positionV>
          <wp:extent cx="1828800" cy="573405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/W9r7soagvAOeEh/NncKoEZzA==">AMUW2mWvq7ZH3oSsVomvtBmDgAQ/d8RLF7p/SEhw2mlk7TUZmQ5H0E1ds+e7307++JC97GUlJ5VfpFV+CA7DVFtrmTMQg9gLpUhOx4K2dRzAot/sxPJGbSU=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