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8E28" w14:textId="46F594E7" w:rsidR="006E2C79" w:rsidRPr="00DE028F" w:rsidRDefault="7034EF73" w:rsidP="7034EF73">
      <w:pPr>
        <w:spacing w:after="0"/>
        <w:jc w:val="center"/>
        <w:rPr>
          <w:b/>
          <w:bCs/>
          <w:sz w:val="28"/>
          <w:szCs w:val="28"/>
        </w:rPr>
      </w:pPr>
      <w:r w:rsidRPr="00DE028F">
        <w:rPr>
          <w:b/>
          <w:bCs/>
          <w:sz w:val="28"/>
          <w:szCs w:val="28"/>
        </w:rPr>
        <w:t>Commonwealth Fee Board and</w:t>
      </w:r>
    </w:p>
    <w:p w14:paraId="0983D0F8" w14:textId="5AD47820" w:rsidR="009C25A0" w:rsidRPr="00DE028F" w:rsidRDefault="7034EF73" w:rsidP="7034EF73">
      <w:pPr>
        <w:spacing w:after="0"/>
        <w:jc w:val="center"/>
        <w:rPr>
          <w:b/>
          <w:bCs/>
          <w:sz w:val="28"/>
          <w:szCs w:val="28"/>
        </w:rPr>
      </w:pPr>
      <w:r w:rsidRPr="00DE028F">
        <w:rPr>
          <w:b/>
          <w:bCs/>
          <w:sz w:val="28"/>
          <w:szCs w:val="28"/>
        </w:rPr>
        <w:t xml:space="preserve"> Commonwealth Student Initiated Fee</w:t>
      </w:r>
    </w:p>
    <w:p w14:paraId="21719A89" w14:textId="312E7B51" w:rsidR="000F25B7" w:rsidRPr="00DE028F" w:rsidRDefault="7034EF73" w:rsidP="7034EF73">
      <w:pPr>
        <w:spacing w:after="0"/>
        <w:jc w:val="center"/>
        <w:rPr>
          <w:b/>
          <w:bCs/>
          <w:sz w:val="28"/>
          <w:szCs w:val="28"/>
        </w:rPr>
      </w:pPr>
      <w:r w:rsidRPr="00DE028F">
        <w:rPr>
          <w:b/>
          <w:bCs/>
          <w:sz w:val="28"/>
          <w:szCs w:val="28"/>
        </w:rPr>
        <w:t xml:space="preserve">Operating Procedures </w:t>
      </w:r>
    </w:p>
    <w:p w14:paraId="0E5CED34" w14:textId="078CCB4C" w:rsidR="44D3998C" w:rsidRDefault="003A76F9" w:rsidP="29855A83">
      <w:pPr>
        <w:spacing w:after="0"/>
        <w:jc w:val="center"/>
        <w:rPr>
          <w:b/>
          <w:bCs/>
        </w:rPr>
      </w:pPr>
      <w:r>
        <w:rPr>
          <w:b/>
          <w:bCs/>
          <w:sz w:val="28"/>
          <w:szCs w:val="28"/>
        </w:rPr>
        <w:t>2023-24</w:t>
      </w:r>
    </w:p>
    <w:p w14:paraId="71F26D8E" w14:textId="77777777" w:rsidR="00A20C86" w:rsidRDefault="00A20C86" w:rsidP="29855A83">
      <w:pPr>
        <w:spacing w:after="0"/>
        <w:jc w:val="center"/>
        <w:rPr>
          <w:b/>
          <w:bCs/>
        </w:rPr>
      </w:pPr>
    </w:p>
    <w:p w14:paraId="53F476E4" w14:textId="6C6116B9" w:rsidR="00964774" w:rsidRDefault="29855A83" w:rsidP="00F4407E">
      <w:r>
        <w:t xml:space="preserve">Supplementing the Student Fee Handbook, this document </w:t>
      </w:r>
      <w:r w:rsidR="004027BA">
        <w:t xml:space="preserve">aims to </w:t>
      </w:r>
      <w:r>
        <w:t>provide additional guidance to the operations of the Commonwealth Fee Board (CFB) as well as of the campus allocation processes</w:t>
      </w:r>
      <w:r w:rsidR="004027BA">
        <w:t xml:space="preserve">. </w:t>
      </w:r>
    </w:p>
    <w:p w14:paraId="7CB262E7" w14:textId="77777777" w:rsidR="00962EC7" w:rsidRDefault="00962EC7" w:rsidP="00962EC7">
      <w:pPr>
        <w:spacing w:before="120" w:after="120"/>
        <w:jc w:val="center"/>
        <w:rPr>
          <w:b/>
          <w:bCs/>
          <w:sz w:val="24"/>
          <w:szCs w:val="24"/>
          <w:u w:val="single"/>
        </w:rPr>
      </w:pPr>
      <w:bookmarkStart w:id="0" w:name="_Toc88221115"/>
    </w:p>
    <w:p w14:paraId="5A18340A" w14:textId="23408170" w:rsidR="000A654B" w:rsidRPr="00E732B0" w:rsidRDefault="000A654B" w:rsidP="00962EC7">
      <w:pPr>
        <w:spacing w:before="120" w:after="120"/>
        <w:jc w:val="center"/>
        <w:rPr>
          <w:b/>
          <w:bCs/>
          <w:sz w:val="24"/>
          <w:szCs w:val="24"/>
          <w:u w:val="single"/>
        </w:rPr>
      </w:pPr>
      <w:r w:rsidRPr="00E732B0">
        <w:rPr>
          <w:b/>
          <w:bCs/>
          <w:sz w:val="24"/>
          <w:szCs w:val="24"/>
          <w:u w:val="single"/>
        </w:rPr>
        <w:t>General Purpose</w:t>
      </w:r>
      <w:bookmarkEnd w:id="0"/>
      <w:r w:rsidRPr="00E732B0">
        <w:rPr>
          <w:b/>
          <w:bCs/>
          <w:sz w:val="24"/>
          <w:szCs w:val="24"/>
          <w:u w:val="single"/>
        </w:rPr>
        <w:t xml:space="preserve"> of the Commonwealth Fee Board (CFB)*</w:t>
      </w:r>
    </w:p>
    <w:p w14:paraId="4E218191" w14:textId="566C2C23" w:rsidR="000A654B" w:rsidRPr="00E732B0" w:rsidRDefault="000A654B" w:rsidP="002E1400">
      <w:pPr>
        <w:pStyle w:val="ListParagraph"/>
        <w:numPr>
          <w:ilvl w:val="0"/>
          <w:numId w:val="14"/>
        </w:numPr>
        <w:spacing w:after="120"/>
      </w:pPr>
      <w:r w:rsidRPr="00E732B0">
        <w:t xml:space="preserve">To oversee the assessment, allocation, and reporting of the Student Initiated Fee (referred </w:t>
      </w:r>
      <w:r w:rsidR="00395988" w:rsidRPr="00E732B0">
        <w:t xml:space="preserve">to </w:t>
      </w:r>
      <w:r w:rsidRPr="00E732B0">
        <w:t>as the SIF) for students whose primary campus of enrollment is among the 19 Commonwealth campuses (referred</w:t>
      </w:r>
      <w:r w:rsidR="00294350" w:rsidRPr="00E732B0">
        <w:t xml:space="preserve"> to</w:t>
      </w:r>
      <w:r w:rsidRPr="00E732B0">
        <w:t xml:space="preserve"> as the CWC).</w:t>
      </w:r>
    </w:p>
    <w:p w14:paraId="7893F541" w14:textId="2DD3046D" w:rsidR="000A654B" w:rsidRPr="00E732B0" w:rsidRDefault="000A654B" w:rsidP="002E1400">
      <w:pPr>
        <w:numPr>
          <w:ilvl w:val="0"/>
          <w:numId w:val="14"/>
        </w:numPr>
        <w:spacing w:after="120"/>
      </w:pPr>
      <w:r w:rsidRPr="00E732B0">
        <w:t>To validate all Fee expenditures and special projects.</w:t>
      </w:r>
    </w:p>
    <w:p w14:paraId="5F34B9B8" w14:textId="7D86C066" w:rsidR="000A654B" w:rsidRPr="00E732B0" w:rsidRDefault="000A654B" w:rsidP="002E1400">
      <w:pPr>
        <w:numPr>
          <w:ilvl w:val="0"/>
          <w:numId w:val="14"/>
        </w:numPr>
        <w:spacing w:after="120"/>
      </w:pPr>
      <w:r w:rsidRPr="00E732B0">
        <w:t xml:space="preserve">Receive and review any proposals to increase/decrease the fee. </w:t>
      </w:r>
    </w:p>
    <w:p w14:paraId="04C5B278" w14:textId="7596E766" w:rsidR="000A654B" w:rsidRPr="00E732B0" w:rsidRDefault="000A654B" w:rsidP="002E1400">
      <w:pPr>
        <w:numPr>
          <w:ilvl w:val="0"/>
          <w:numId w:val="14"/>
        </w:numPr>
        <w:spacing w:after="120"/>
      </w:pPr>
      <w:r w:rsidRPr="00E732B0">
        <w:t>Review the use of funds for consistency with the established principles and practices.</w:t>
      </w:r>
    </w:p>
    <w:p w14:paraId="2F5C6B47" w14:textId="6D99EEAE" w:rsidR="000A654B" w:rsidRPr="00E732B0" w:rsidRDefault="000A654B" w:rsidP="002E1400">
      <w:pPr>
        <w:numPr>
          <w:ilvl w:val="0"/>
          <w:numId w:val="14"/>
        </w:numPr>
        <w:spacing w:after="120"/>
      </w:pPr>
      <w:r w:rsidRPr="00E732B0">
        <w:t>Report the use of all Student Fee funds on a yearly basis to the University community.</w:t>
      </w:r>
    </w:p>
    <w:p w14:paraId="4539644D" w14:textId="56DAD946" w:rsidR="000A654B" w:rsidRPr="00E732B0" w:rsidRDefault="000A654B" w:rsidP="002E1400">
      <w:pPr>
        <w:numPr>
          <w:ilvl w:val="0"/>
          <w:numId w:val="14"/>
        </w:numPr>
        <w:spacing w:after="120"/>
      </w:pPr>
      <w:r w:rsidRPr="00E732B0">
        <w:t>Rule on appeals of decision</w:t>
      </w:r>
      <w:r w:rsidR="00261A0F" w:rsidRPr="00E732B0">
        <w:t>s</w:t>
      </w:r>
      <w:r w:rsidRPr="00E732B0">
        <w:t xml:space="preserve"> made by the Campus Allocation Committees (referred </w:t>
      </w:r>
      <w:r w:rsidR="00E640CC" w:rsidRPr="00E732B0">
        <w:t xml:space="preserve">to </w:t>
      </w:r>
      <w:r w:rsidRPr="00E732B0">
        <w:t>as the CAC) when applicable.</w:t>
      </w:r>
    </w:p>
    <w:p w14:paraId="44974AB6" w14:textId="284ED154" w:rsidR="007044C0" w:rsidRPr="00E732B0" w:rsidRDefault="000A654B" w:rsidP="002E1400">
      <w:pPr>
        <w:numPr>
          <w:ilvl w:val="0"/>
          <w:numId w:val="14"/>
        </w:numPr>
        <w:spacing w:after="120"/>
      </w:pPr>
      <w:r w:rsidRPr="00E732B0">
        <w:t>Recommend changes in policy and procedure to the Steering Committee.</w:t>
      </w:r>
    </w:p>
    <w:p w14:paraId="7D445374" w14:textId="649B9283" w:rsidR="007044C0" w:rsidRPr="00E732B0" w:rsidRDefault="5FC7CDDE" w:rsidP="5FC7CDDE">
      <w:pPr>
        <w:ind w:left="720"/>
        <w:rPr>
          <w:sz w:val="18"/>
          <w:szCs w:val="18"/>
        </w:rPr>
      </w:pPr>
      <w:r w:rsidRPr="00E732B0">
        <w:rPr>
          <w:sz w:val="18"/>
          <w:szCs w:val="18"/>
        </w:rPr>
        <w:t>* as stated in the Student Fee Handbook</w:t>
      </w:r>
    </w:p>
    <w:p w14:paraId="7A7DC4AA" w14:textId="7C67BAAB" w:rsidR="008E2E56" w:rsidRPr="00E732B0" w:rsidRDefault="008E2E56" w:rsidP="00147EC3">
      <w:pPr>
        <w:spacing w:before="200" w:after="120"/>
        <w:jc w:val="center"/>
        <w:rPr>
          <w:b/>
          <w:bCs/>
          <w:sz w:val="24"/>
          <w:szCs w:val="24"/>
          <w:u w:val="single"/>
        </w:rPr>
      </w:pPr>
      <w:r w:rsidRPr="00E732B0">
        <w:rPr>
          <w:b/>
          <w:bCs/>
          <w:sz w:val="24"/>
          <w:szCs w:val="24"/>
          <w:u w:val="single"/>
        </w:rPr>
        <w:t>Guiding Principles</w:t>
      </w:r>
    </w:p>
    <w:p w14:paraId="43F5092B" w14:textId="0709EFD7" w:rsidR="00CC6A37" w:rsidRPr="00E732B0" w:rsidRDefault="00CC6A37" w:rsidP="002E1400">
      <w:pPr>
        <w:pStyle w:val="ListParagraph"/>
        <w:numPr>
          <w:ilvl w:val="0"/>
          <w:numId w:val="15"/>
        </w:numPr>
        <w:spacing w:after="120"/>
      </w:pPr>
      <w:r w:rsidRPr="00E732B0">
        <w:t>The CFB stands as an interdependent organization within the Student Fee Board.</w:t>
      </w:r>
    </w:p>
    <w:p w14:paraId="2443B262" w14:textId="1150ED44" w:rsidR="00CC6A37" w:rsidRPr="00E732B0" w:rsidRDefault="00CC6A37" w:rsidP="002E1400">
      <w:pPr>
        <w:numPr>
          <w:ilvl w:val="0"/>
          <w:numId w:val="15"/>
        </w:numPr>
        <w:spacing w:after="120"/>
      </w:pPr>
      <w:r w:rsidRPr="00E732B0">
        <w:t>The CFB aims to maintain a partnership with the Council of Commonwealth Student Governments (CCSG) to fulfill both organizations’ shared missions and values.</w:t>
      </w:r>
    </w:p>
    <w:p w14:paraId="541F1CA9" w14:textId="04A9F351" w:rsidR="00CC6A37" w:rsidRDefault="00CC6A37" w:rsidP="002E1400">
      <w:pPr>
        <w:numPr>
          <w:ilvl w:val="0"/>
          <w:numId w:val="15"/>
        </w:numPr>
        <w:spacing w:after="120"/>
      </w:pPr>
      <w:r w:rsidRPr="00E732B0">
        <w:t>The CFB does not exist under the purview of CCSG and is a self-sustaining entity once the student members of the Board are appointed.</w:t>
      </w:r>
    </w:p>
    <w:p w14:paraId="672A6659" w14:textId="4278A7F1" w:rsidR="00964774" w:rsidRPr="00B91655" w:rsidRDefault="008E2E56" w:rsidP="00147EC3">
      <w:pPr>
        <w:spacing w:before="200" w:after="120"/>
        <w:jc w:val="center"/>
        <w:rPr>
          <w:b/>
          <w:bCs/>
          <w:sz w:val="24"/>
          <w:szCs w:val="24"/>
        </w:rPr>
      </w:pPr>
      <w:r w:rsidRPr="00B91655">
        <w:rPr>
          <w:b/>
          <w:bCs/>
          <w:sz w:val="24"/>
          <w:szCs w:val="24"/>
          <w:u w:val="single"/>
        </w:rPr>
        <w:t>Administrative P</w:t>
      </w:r>
      <w:r w:rsidR="44D3998C" w:rsidRPr="00B91655">
        <w:rPr>
          <w:b/>
          <w:bCs/>
          <w:sz w:val="24"/>
          <w:szCs w:val="24"/>
          <w:u w:val="single"/>
        </w:rPr>
        <w:t>rocedures</w:t>
      </w:r>
    </w:p>
    <w:p w14:paraId="149CFFD7" w14:textId="7ACDC4C9" w:rsidR="00073CF0" w:rsidRDefault="7034EF73" w:rsidP="00334D46">
      <w:pPr>
        <w:spacing w:before="120" w:after="120"/>
      </w:pPr>
      <w:r w:rsidRPr="00073CF0">
        <w:rPr>
          <w:b/>
          <w:bCs/>
        </w:rPr>
        <w:t xml:space="preserve">Agenda </w:t>
      </w:r>
      <w:r w:rsidR="00073CF0">
        <w:rPr>
          <w:b/>
          <w:bCs/>
        </w:rPr>
        <w:t>I</w:t>
      </w:r>
      <w:r w:rsidRPr="00073CF0">
        <w:rPr>
          <w:b/>
          <w:bCs/>
        </w:rPr>
        <w:t xml:space="preserve">tems and </w:t>
      </w:r>
      <w:r w:rsidR="00073CF0">
        <w:rPr>
          <w:b/>
          <w:bCs/>
        </w:rPr>
        <w:t>M</w:t>
      </w:r>
      <w:r w:rsidRPr="00073CF0">
        <w:rPr>
          <w:b/>
          <w:bCs/>
        </w:rPr>
        <w:t>aterials</w:t>
      </w:r>
    </w:p>
    <w:p w14:paraId="00179AC2" w14:textId="41AEBCCA" w:rsidR="00F4407E" w:rsidRDefault="7034EF73" w:rsidP="00073CF0">
      <w:r>
        <w:t>To provide adequate time for members to receive feedback from various stakeholders, items to be voted upon should be shared with the committee members ideally at the CFB meeting prior to the vote or, minimally, 10 days prior to the meeting. Materials are shared via email and sent from the staff support for the CFB. Furthermore, agendas and minutes should be uploaded in a timely way to the student fee website.</w:t>
      </w:r>
    </w:p>
    <w:p w14:paraId="60D60EDE" w14:textId="3255CE15" w:rsidR="00685B21" w:rsidRPr="00685B21" w:rsidRDefault="44D3998C" w:rsidP="00046952">
      <w:pPr>
        <w:spacing w:before="120" w:after="120"/>
        <w:rPr>
          <w:b/>
          <w:bCs/>
        </w:rPr>
      </w:pPr>
      <w:r w:rsidRPr="00E732B0">
        <w:rPr>
          <w:b/>
          <w:bCs/>
        </w:rPr>
        <w:lastRenderedPageBreak/>
        <w:t>Meetings</w:t>
      </w:r>
      <w:r w:rsidR="002F6F17" w:rsidRPr="00E732B0">
        <w:rPr>
          <w:b/>
          <w:bCs/>
        </w:rPr>
        <w:t xml:space="preserve"> and General Timeline</w:t>
      </w:r>
    </w:p>
    <w:p w14:paraId="5B8D0C5B" w14:textId="2C4A5E8F" w:rsidR="009666F9" w:rsidRDefault="44D3998C" w:rsidP="00B320E2">
      <w:r>
        <w:t>Generally</w:t>
      </w:r>
      <w:r w:rsidR="0067233A">
        <w:t>,</w:t>
      </w:r>
      <w:r>
        <w:t xml:space="preserve"> the CFB meets on the Friday of CCSG Council weekends. This allows for maximum attendance at the meetings. Additional meetings may be necessary to accommodate the work of the board</w:t>
      </w:r>
      <w:r w:rsidRPr="00E732B0">
        <w:t xml:space="preserve">. </w:t>
      </w:r>
      <w:r w:rsidR="002066D9" w:rsidRPr="00E732B0">
        <w:t>It is also under the purview of the CFB Chair to appoint subcommittee</w:t>
      </w:r>
      <w:r w:rsidR="00AA6B4D" w:rsidRPr="00E732B0">
        <w:t>s</w:t>
      </w:r>
      <w:r w:rsidR="002066D9" w:rsidRPr="00E732B0">
        <w:t xml:space="preserve"> and/or </w:t>
      </w:r>
      <w:r w:rsidR="00EF6474" w:rsidRPr="00E732B0">
        <w:t xml:space="preserve">to hold </w:t>
      </w:r>
      <w:r w:rsidR="00FD5641" w:rsidRPr="00E732B0">
        <w:t xml:space="preserve">meetings involving </w:t>
      </w:r>
      <w:r w:rsidR="000654B2" w:rsidRPr="00E732B0">
        <w:t>“subject matter expert</w:t>
      </w:r>
      <w:r w:rsidR="00C24B68" w:rsidRPr="00E732B0">
        <w:t>s</w:t>
      </w:r>
      <w:r w:rsidR="000654B2" w:rsidRPr="00E732B0">
        <w:t>”</w:t>
      </w:r>
      <w:r w:rsidR="00C24B68" w:rsidRPr="00E732B0">
        <w:t xml:space="preserve"> </w:t>
      </w:r>
      <w:r w:rsidR="000654B2" w:rsidRPr="00E732B0">
        <w:t>when deemed necessary.</w:t>
      </w:r>
    </w:p>
    <w:p w14:paraId="551828E1" w14:textId="10BA6FFF" w:rsidR="00E57C28" w:rsidRPr="00E732B0" w:rsidRDefault="007942C2" w:rsidP="00E57C28">
      <w:pPr>
        <w:pStyle w:val="ListParagraph"/>
        <w:numPr>
          <w:ilvl w:val="0"/>
          <w:numId w:val="11"/>
        </w:numPr>
      </w:pPr>
      <w:r w:rsidRPr="00E732B0">
        <w:t>General</w:t>
      </w:r>
      <w:r w:rsidR="00E57C28" w:rsidRPr="00E732B0">
        <w:t xml:space="preserve"> </w:t>
      </w:r>
      <w:r w:rsidRPr="00E732B0">
        <w:t>T</w:t>
      </w:r>
      <w:r w:rsidR="00E57C28" w:rsidRPr="00E732B0">
        <w:t xml:space="preserve">imeline – There are some standard business processes that occur each year for the CFB. A general outline of the year is as follows: </w:t>
      </w:r>
    </w:p>
    <w:p w14:paraId="1AE51024" w14:textId="77777777" w:rsidR="00E57C28" w:rsidRPr="00E732B0" w:rsidRDefault="00E57C28" w:rsidP="00E57C28">
      <w:pPr>
        <w:pStyle w:val="ListParagraph"/>
        <w:numPr>
          <w:ilvl w:val="1"/>
          <w:numId w:val="11"/>
        </w:numPr>
      </w:pPr>
      <w:r w:rsidRPr="00E732B0">
        <w:t xml:space="preserve">Two weeks prior to the first meeting – CCSG "show cause" budget is due </w:t>
      </w:r>
    </w:p>
    <w:p w14:paraId="60A8E4BB" w14:textId="77777777" w:rsidR="00E57C28" w:rsidRPr="00E732B0" w:rsidRDefault="00E57C28" w:rsidP="00E57C28">
      <w:pPr>
        <w:pStyle w:val="ListParagraph"/>
        <w:numPr>
          <w:ilvl w:val="1"/>
          <w:numId w:val="11"/>
        </w:numPr>
      </w:pPr>
      <w:r w:rsidRPr="00E732B0">
        <w:t>September/October meeting – Review of CCSG "show cause" budget for the year</w:t>
      </w:r>
    </w:p>
    <w:p w14:paraId="4A5BC7DA" w14:textId="6CBA0B58" w:rsidR="00E57C28" w:rsidRPr="00E732B0" w:rsidRDefault="00E57C28" w:rsidP="00E57C28">
      <w:pPr>
        <w:pStyle w:val="ListParagraph"/>
        <w:numPr>
          <w:ilvl w:val="1"/>
          <w:numId w:val="11"/>
        </w:numPr>
      </w:pPr>
      <w:r w:rsidRPr="00E732B0">
        <w:t xml:space="preserve">November meeting – </w:t>
      </w:r>
      <w:r w:rsidR="007942C2" w:rsidRPr="00E732B0">
        <w:t>F</w:t>
      </w:r>
      <w:r w:rsidRPr="00E732B0">
        <w:t>ee level discussion, information from DSA group on fee usage and levels, CAPS/</w:t>
      </w:r>
      <w:r w:rsidR="005B2DDB" w:rsidRPr="00E732B0">
        <w:t>SLS/</w:t>
      </w:r>
      <w:r w:rsidRPr="00E732B0">
        <w:t>CCSG</w:t>
      </w:r>
      <w:r w:rsidR="00254345">
        <w:t>/BN</w:t>
      </w:r>
      <w:r w:rsidRPr="00E732B0">
        <w:t xml:space="preserve"> review/proposal </w:t>
      </w:r>
    </w:p>
    <w:p w14:paraId="3E0EE1F1" w14:textId="77777777" w:rsidR="00E57C28" w:rsidRPr="00E732B0" w:rsidRDefault="00E57C28" w:rsidP="00E57C28">
      <w:pPr>
        <w:pStyle w:val="ListParagraph"/>
        <w:numPr>
          <w:ilvl w:val="1"/>
          <w:numId w:val="11"/>
        </w:numPr>
      </w:pPr>
      <w:r w:rsidRPr="00E732B0">
        <w:t xml:space="preserve">Mid-January – CCSG mid-year audit due (July 1- Dec. 31) </w:t>
      </w:r>
    </w:p>
    <w:p w14:paraId="5BFEBC08" w14:textId="0DE69617" w:rsidR="00E57C28" w:rsidRPr="00E732B0" w:rsidRDefault="00E57C28" w:rsidP="00E57C28">
      <w:pPr>
        <w:pStyle w:val="ListParagraph"/>
        <w:numPr>
          <w:ilvl w:val="1"/>
          <w:numId w:val="11"/>
        </w:numPr>
      </w:pPr>
      <w:r w:rsidRPr="00E732B0">
        <w:t>February meeting – CAPS/</w:t>
      </w:r>
      <w:r w:rsidR="005B2DDB" w:rsidRPr="00E732B0">
        <w:t>SLS/</w:t>
      </w:r>
      <w:r w:rsidRPr="00E732B0">
        <w:t>CCSG</w:t>
      </w:r>
      <w:r w:rsidR="00C05A60">
        <w:t>/BN</w:t>
      </w:r>
      <w:r w:rsidRPr="00E732B0">
        <w:t xml:space="preserve"> review/proposal (if not completed in November), CCSG mid-year audit </w:t>
      </w:r>
    </w:p>
    <w:p w14:paraId="568064CF" w14:textId="77777777" w:rsidR="00E57C28" w:rsidRPr="00E732B0" w:rsidRDefault="00E57C28" w:rsidP="00E57C28">
      <w:pPr>
        <w:pStyle w:val="ListParagraph"/>
        <w:numPr>
          <w:ilvl w:val="1"/>
          <w:numId w:val="11"/>
        </w:numPr>
      </w:pPr>
      <w:r w:rsidRPr="00E732B0">
        <w:t>By end of March – campuses request levels for next year’s fee (if applicable) and for summer fee</w:t>
      </w:r>
    </w:p>
    <w:p w14:paraId="16A8343D" w14:textId="58C2A362" w:rsidR="00E57C28" w:rsidRPr="00E732B0" w:rsidRDefault="00E57C28" w:rsidP="00E57C28">
      <w:pPr>
        <w:pStyle w:val="ListParagraph"/>
        <w:numPr>
          <w:ilvl w:val="1"/>
          <w:numId w:val="11"/>
        </w:numPr>
      </w:pPr>
      <w:r w:rsidRPr="00E732B0">
        <w:t xml:space="preserve">March meeting – </w:t>
      </w:r>
      <w:r w:rsidR="00697059" w:rsidRPr="00E732B0">
        <w:t xml:space="preserve">fee levels voted upon, </w:t>
      </w:r>
      <w:r w:rsidR="00764D0F" w:rsidRPr="00E732B0">
        <w:t xml:space="preserve">vote to approve CFB chair selection, </w:t>
      </w:r>
      <w:r w:rsidRPr="00E732B0">
        <w:t>no CCSG budget action</w:t>
      </w:r>
    </w:p>
    <w:p w14:paraId="4DE8D63C" w14:textId="77777777" w:rsidR="00E57C28" w:rsidRPr="00E732B0" w:rsidRDefault="00E57C28" w:rsidP="00E57C28">
      <w:pPr>
        <w:pStyle w:val="ListParagraph"/>
        <w:numPr>
          <w:ilvl w:val="1"/>
          <w:numId w:val="11"/>
        </w:numPr>
      </w:pPr>
      <w:r w:rsidRPr="00E732B0">
        <w:t xml:space="preserve">April meeting – review CCSG transitional audit, begin nomination and application processes for board members for the upcoming year, transitional meeting for new chair </w:t>
      </w:r>
    </w:p>
    <w:p w14:paraId="786F9FF9" w14:textId="4EC1920C" w:rsidR="00E57C28" w:rsidRPr="00E732B0" w:rsidRDefault="00E57C28" w:rsidP="00E57C28">
      <w:pPr>
        <w:pStyle w:val="ListParagraph"/>
        <w:numPr>
          <w:ilvl w:val="1"/>
          <w:numId w:val="11"/>
        </w:numPr>
        <w:rPr>
          <w:rFonts w:asciiTheme="minorEastAsia" w:eastAsiaTheme="minorEastAsia" w:hAnsiTheme="minorEastAsia" w:cstheme="minorEastAsia"/>
        </w:rPr>
      </w:pPr>
      <w:r w:rsidRPr="00E732B0">
        <w:t>July 31</w:t>
      </w:r>
      <w:r w:rsidRPr="00E732B0">
        <w:rPr>
          <w:vertAlign w:val="superscript"/>
        </w:rPr>
        <w:t>st</w:t>
      </w:r>
      <w:r w:rsidRPr="00E732B0">
        <w:t xml:space="preserve"> – CCSG annual formal audit due.  This should be submitted to the Associate Director, Finance, HUB-Robeson Center. A final audit report will be presented to the CFB at the October meeting.</w:t>
      </w:r>
    </w:p>
    <w:p w14:paraId="58A0E454" w14:textId="47B6CBD7" w:rsidR="00526B6D" w:rsidRDefault="44D3998C" w:rsidP="00046952">
      <w:pPr>
        <w:spacing w:before="120" w:after="120"/>
      </w:pPr>
      <w:r w:rsidRPr="00526B6D">
        <w:rPr>
          <w:b/>
          <w:bCs/>
        </w:rPr>
        <w:t xml:space="preserve">Role of </w:t>
      </w:r>
      <w:r w:rsidR="00526B6D">
        <w:rPr>
          <w:b/>
          <w:bCs/>
        </w:rPr>
        <w:t>Board</w:t>
      </w:r>
      <w:r w:rsidRPr="00526B6D">
        <w:rPr>
          <w:b/>
          <w:bCs/>
        </w:rPr>
        <w:t xml:space="preserve"> </w:t>
      </w:r>
      <w:r w:rsidR="00526B6D">
        <w:rPr>
          <w:b/>
          <w:bCs/>
        </w:rPr>
        <w:t>M</w:t>
      </w:r>
      <w:r w:rsidRPr="00526B6D">
        <w:rPr>
          <w:b/>
          <w:bCs/>
        </w:rPr>
        <w:t>embers</w:t>
      </w:r>
    </w:p>
    <w:p w14:paraId="29FAD4D9" w14:textId="33272035" w:rsidR="00F4407E" w:rsidRDefault="44D3998C" w:rsidP="00526B6D">
      <w:r>
        <w:t>CFB members are selected to be representative of the campus colleges and University College campuses. However, the member’s role is to advocate for all Commonwealth campuses and not a specific campus' interests. The CCSG President and other members of the board solicit feedback from the SGA Presidents and other stakeholders to add to the discuss</w:t>
      </w:r>
      <w:r w:rsidR="00E35ECA">
        <w:t>ion</w:t>
      </w:r>
      <w:r>
        <w:t xml:space="preserve">. The SGA </w:t>
      </w:r>
      <w:r w:rsidR="00C0776D">
        <w:t>P</w:t>
      </w:r>
      <w:r>
        <w:t>residents’ vote does not necessarily determine the vote for the CFB. In addition, CFB members are encouraged to attend meetings in person to promote robust discussion and full participation. However, Zoom is provided as a secondary option for those who can</w:t>
      </w:r>
      <w:r w:rsidR="00E35ECA">
        <w:t>no</w:t>
      </w:r>
      <w:r>
        <w:t xml:space="preserve">t travel to the location of the CFB meeting. </w:t>
      </w:r>
    </w:p>
    <w:p w14:paraId="03B3613D" w14:textId="3A145A24" w:rsidR="00F4407E" w:rsidRDefault="44D3998C" w:rsidP="00F4407E">
      <w:pPr>
        <w:pStyle w:val="ListParagraph"/>
        <w:numPr>
          <w:ilvl w:val="0"/>
          <w:numId w:val="11"/>
        </w:numPr>
      </w:pPr>
      <w:r>
        <w:t xml:space="preserve">Proxies – CFB board members may designate a proxy to attend on their behalf as needed.  The designated proxy should be familiar with CFB procedures and current agenda items.  Each CFB member shall name their proxy at the first CFB meeting of the year, and the proxy contact information should be shared with the CFB administrative support. </w:t>
      </w:r>
    </w:p>
    <w:p w14:paraId="787AF972" w14:textId="77777777" w:rsidR="005B6C3D" w:rsidRDefault="005B6C3D" w:rsidP="00046952">
      <w:pPr>
        <w:spacing w:before="120" w:after="120"/>
        <w:rPr>
          <w:b/>
          <w:bCs/>
        </w:rPr>
      </w:pPr>
    </w:p>
    <w:p w14:paraId="15F73CB2" w14:textId="77777777" w:rsidR="005B6C3D" w:rsidRDefault="005B6C3D" w:rsidP="00046952">
      <w:pPr>
        <w:spacing w:before="120" w:after="120"/>
        <w:rPr>
          <w:b/>
          <w:bCs/>
        </w:rPr>
      </w:pPr>
    </w:p>
    <w:p w14:paraId="33A2B7F3" w14:textId="20C08D3E" w:rsidR="44D3998C" w:rsidRPr="00B307C7" w:rsidRDefault="44D3998C" w:rsidP="00046952">
      <w:pPr>
        <w:spacing w:before="120" w:after="120"/>
        <w:rPr>
          <w:b/>
          <w:bCs/>
        </w:rPr>
      </w:pPr>
      <w:r w:rsidRPr="00B307C7">
        <w:rPr>
          <w:b/>
          <w:bCs/>
        </w:rPr>
        <w:lastRenderedPageBreak/>
        <w:t>CFB Annual Reporting</w:t>
      </w:r>
    </w:p>
    <w:p w14:paraId="4D294083" w14:textId="34ED161C" w:rsidR="00D240D7" w:rsidRDefault="00D240D7" w:rsidP="00D240D7">
      <w:r>
        <w:t>Annual reports are generated within SIMBA. This information will be used to inform setting the fee and for campuses to post on their allocation committee website to provide greater transparency.  Support is provided centrally through the Office of the Vice President for Commonwealth Campuses.</w:t>
      </w:r>
    </w:p>
    <w:p w14:paraId="27FBDCF6" w14:textId="40611C81" w:rsidR="00B86F22" w:rsidRPr="00E732B0" w:rsidRDefault="00B86F22" w:rsidP="00A20C86">
      <w:pPr>
        <w:spacing w:before="200" w:after="120"/>
        <w:jc w:val="center"/>
        <w:rPr>
          <w:b/>
          <w:bCs/>
          <w:sz w:val="24"/>
          <w:szCs w:val="24"/>
          <w:u w:val="single"/>
        </w:rPr>
      </w:pPr>
      <w:r w:rsidRPr="00E732B0">
        <w:rPr>
          <w:b/>
          <w:bCs/>
          <w:sz w:val="24"/>
          <w:szCs w:val="24"/>
          <w:u w:val="single"/>
        </w:rPr>
        <w:t>CFB Chair Selection Process</w:t>
      </w:r>
      <w:r w:rsidR="0093724C" w:rsidRPr="00E732B0">
        <w:rPr>
          <w:rStyle w:val="FootnoteReference"/>
          <w:b/>
          <w:bCs/>
          <w:sz w:val="24"/>
          <w:szCs w:val="24"/>
          <w:u w:val="single"/>
        </w:rPr>
        <w:footnoteReference w:id="2"/>
      </w:r>
    </w:p>
    <w:p w14:paraId="36C7C4ED" w14:textId="23828883" w:rsidR="006E49D7" w:rsidRPr="00E732B0" w:rsidRDefault="006E49D7" w:rsidP="006E49D7">
      <w:r w:rsidRPr="00E732B0">
        <w:t>The selection of the CFB Chair includes a CCSG nomination process, followed by an application and interview coordinated by a subcommittee of the CFB</w:t>
      </w:r>
      <w:r w:rsidR="00C77F15" w:rsidRPr="00E732B0">
        <w:t xml:space="preserve"> (known as the Selection Committee)</w:t>
      </w:r>
      <w:r w:rsidRPr="00E732B0">
        <w:t>, and approval by the full</w:t>
      </w:r>
      <w:r w:rsidR="00EC199D" w:rsidRPr="00E732B0">
        <w:t xml:space="preserve"> voting members of the</w:t>
      </w:r>
      <w:r w:rsidRPr="00E732B0">
        <w:t xml:space="preserve"> CFB. The </w:t>
      </w:r>
      <w:r w:rsidR="00EC199D" w:rsidRPr="00E732B0">
        <w:t xml:space="preserve">selection </w:t>
      </w:r>
      <w:r w:rsidRPr="00E732B0">
        <w:t>process will be coordinated by the CCSG Campus Chair (or another outgoing CFB member if the Campus Chair is a candidate) and the CFB advisor or designee.</w:t>
      </w:r>
    </w:p>
    <w:p w14:paraId="6233C9C6" w14:textId="77777777" w:rsidR="00BA5D4E" w:rsidRPr="00E732B0" w:rsidRDefault="00BA5D4E" w:rsidP="00046952">
      <w:pPr>
        <w:spacing w:before="120" w:after="120"/>
        <w:rPr>
          <w:b/>
          <w:bCs/>
        </w:rPr>
      </w:pPr>
      <w:r w:rsidRPr="00E732B0">
        <w:rPr>
          <w:b/>
          <w:bCs/>
        </w:rPr>
        <w:t>Selection Committee Members</w:t>
      </w:r>
    </w:p>
    <w:p w14:paraId="28DA9B87" w14:textId="1629F1F4" w:rsidR="006E49D7" w:rsidRPr="00E732B0" w:rsidRDefault="006E49D7" w:rsidP="006E49D7">
      <w:r w:rsidRPr="00E732B0">
        <w:t>The Selection Committee will include the CCSG Campus Chair, the CFB Advisor, either a UPUA or UPFB representative, and either one or two CFB student members. The Selection Committee has the discretion to adjust the process when required based on unique circumstances.</w:t>
      </w:r>
    </w:p>
    <w:p w14:paraId="2F336811" w14:textId="5496EF8C" w:rsidR="00104B70" w:rsidRPr="00E732B0" w:rsidRDefault="00104B70" w:rsidP="00046952">
      <w:pPr>
        <w:spacing w:before="120" w:after="120"/>
        <w:rPr>
          <w:b/>
          <w:bCs/>
        </w:rPr>
      </w:pPr>
      <w:r w:rsidRPr="00E732B0">
        <w:rPr>
          <w:b/>
          <w:bCs/>
        </w:rPr>
        <w:t>CFB Chair</w:t>
      </w:r>
      <w:r w:rsidR="0059167F" w:rsidRPr="00E732B0">
        <w:rPr>
          <w:b/>
          <w:bCs/>
        </w:rPr>
        <w:t xml:space="preserve"> Candidate </w:t>
      </w:r>
      <w:r w:rsidRPr="00E732B0">
        <w:rPr>
          <w:b/>
          <w:bCs/>
        </w:rPr>
        <w:t>Requirements</w:t>
      </w:r>
    </w:p>
    <w:p w14:paraId="622C191C" w14:textId="77777777" w:rsidR="00104B70" w:rsidRPr="00E732B0" w:rsidRDefault="00104B70" w:rsidP="00104B70">
      <w:r w:rsidRPr="00E732B0">
        <w:t>The candidate must have attended a Commonwealth Campus for at least one year, be a University Park student during their term as the CFB Chair and be of good academic standing. A working knowledge of the Student Fee Handbook and the CFB Operating Procedures as well as prior experience within their respective SGA/Campus Allocation Committee are preferred along with an understanding of the needs of the Commonwealth campuses.</w:t>
      </w:r>
    </w:p>
    <w:p w14:paraId="50CC2535" w14:textId="77777777" w:rsidR="00104B70" w:rsidRPr="00E732B0" w:rsidRDefault="00104B70" w:rsidP="00046952">
      <w:pPr>
        <w:spacing w:before="120" w:after="120"/>
        <w:rPr>
          <w:b/>
          <w:bCs/>
        </w:rPr>
      </w:pPr>
      <w:r w:rsidRPr="00E732B0">
        <w:rPr>
          <w:b/>
          <w:bCs/>
        </w:rPr>
        <w:t>Timeline</w:t>
      </w:r>
    </w:p>
    <w:p w14:paraId="42BC3A85" w14:textId="0B589F88" w:rsidR="00104B70" w:rsidRPr="00E732B0" w:rsidRDefault="00DA3B4F" w:rsidP="00104B70">
      <w:r w:rsidRPr="00E732B0">
        <w:t>A</w:t>
      </w:r>
      <w:r w:rsidR="00556267" w:rsidRPr="00E732B0">
        <w:t>n</w:t>
      </w:r>
      <w:r w:rsidRPr="00E732B0">
        <w:t xml:space="preserve"> overview of the timeline </w:t>
      </w:r>
      <w:r w:rsidR="00556267" w:rsidRPr="00E732B0">
        <w:t>follows</w:t>
      </w:r>
      <w:r w:rsidRPr="00E732B0">
        <w:t xml:space="preserve"> in this order: </w:t>
      </w:r>
      <w:r w:rsidR="00104B70" w:rsidRPr="00E732B0">
        <w:t xml:space="preserve">CCSG </w:t>
      </w:r>
      <w:r w:rsidR="00556267" w:rsidRPr="00E732B0">
        <w:t xml:space="preserve">first </w:t>
      </w:r>
      <w:r w:rsidR="00104B70" w:rsidRPr="00E732B0">
        <w:t>nominates candidates</w:t>
      </w:r>
      <w:r w:rsidRPr="00E732B0">
        <w:t>, then i</w:t>
      </w:r>
      <w:r w:rsidR="00104B70" w:rsidRPr="00E732B0">
        <w:t xml:space="preserve">nterested candidates complete the application and are interviewed by the Selection Committee. The Selection Committee will </w:t>
      </w:r>
      <w:r w:rsidRPr="00E732B0">
        <w:t xml:space="preserve">then </w:t>
      </w:r>
      <w:r w:rsidR="00104B70" w:rsidRPr="00E732B0">
        <w:t>present the recommended finalist(s) for approval by the CFB</w:t>
      </w:r>
      <w:r w:rsidRPr="00E732B0">
        <w:t xml:space="preserve"> voting members</w:t>
      </w:r>
      <w:r w:rsidR="00104B70" w:rsidRPr="00E732B0">
        <w:t>.</w:t>
      </w:r>
    </w:p>
    <w:p w14:paraId="23A3A7EF" w14:textId="77777777" w:rsidR="003E1256" w:rsidRPr="00E732B0" w:rsidRDefault="00104B70" w:rsidP="00104B70">
      <w:pPr>
        <w:pStyle w:val="ListParagraph"/>
        <w:numPr>
          <w:ilvl w:val="0"/>
          <w:numId w:val="11"/>
        </w:numPr>
      </w:pPr>
      <w:r w:rsidRPr="00E732B0">
        <w:t xml:space="preserve">First CCSG council meeting </w:t>
      </w:r>
      <w:r w:rsidR="003E1256" w:rsidRPr="00E732B0">
        <w:t>of</w:t>
      </w:r>
      <w:r w:rsidRPr="00E732B0">
        <w:t xml:space="preserve"> the spring</w:t>
      </w:r>
      <w:r w:rsidR="00DA3B4F" w:rsidRPr="00E732B0">
        <w:t xml:space="preserve"> semester</w:t>
      </w:r>
      <w:r w:rsidRPr="00E732B0">
        <w:t xml:space="preserve"> – </w:t>
      </w:r>
      <w:r w:rsidR="003E1256" w:rsidRPr="00E732B0">
        <w:t xml:space="preserve">CFB Chair </w:t>
      </w:r>
      <w:r w:rsidRPr="00E732B0">
        <w:t xml:space="preserve">nominations </w:t>
      </w:r>
      <w:r w:rsidR="00DA3B4F" w:rsidRPr="00E732B0">
        <w:t xml:space="preserve">are </w:t>
      </w:r>
      <w:r w:rsidRPr="00E732B0">
        <w:t>accepted (extended to March if necessary)</w:t>
      </w:r>
    </w:p>
    <w:p w14:paraId="325D11F6" w14:textId="77777777" w:rsidR="003E1256" w:rsidRPr="00E732B0" w:rsidRDefault="00104B70" w:rsidP="00104B70">
      <w:pPr>
        <w:pStyle w:val="ListParagraph"/>
        <w:numPr>
          <w:ilvl w:val="0"/>
          <w:numId w:val="11"/>
        </w:numPr>
      </w:pPr>
      <w:r w:rsidRPr="00E732B0">
        <w:t xml:space="preserve">Nominees </w:t>
      </w:r>
      <w:r w:rsidR="00DA3B4F" w:rsidRPr="00E732B0">
        <w:t xml:space="preserve">then </w:t>
      </w:r>
      <w:r w:rsidRPr="00E732B0">
        <w:t>complete the application – within a month</w:t>
      </w:r>
      <w:r w:rsidR="00DA3B4F" w:rsidRPr="00E732B0">
        <w:t xml:space="preserve"> after nominations</w:t>
      </w:r>
    </w:p>
    <w:p w14:paraId="384F061C" w14:textId="4C3A773B" w:rsidR="003E1256" w:rsidRPr="00E732B0" w:rsidRDefault="00DA3B4F" w:rsidP="00104B70">
      <w:pPr>
        <w:pStyle w:val="ListParagraph"/>
        <w:numPr>
          <w:ilvl w:val="0"/>
          <w:numId w:val="11"/>
        </w:numPr>
      </w:pPr>
      <w:r w:rsidRPr="00E732B0">
        <w:t>Candidate i</w:t>
      </w:r>
      <w:r w:rsidR="00104B70" w:rsidRPr="00E732B0">
        <w:t xml:space="preserve">nterviews are held – </w:t>
      </w:r>
      <w:r w:rsidR="004D2DC9" w:rsidRPr="00E732B0">
        <w:t>within</w:t>
      </w:r>
      <w:r w:rsidR="00104B70" w:rsidRPr="00E732B0">
        <w:t xml:space="preserve"> the month of March (extended to April if necessary)</w:t>
      </w:r>
    </w:p>
    <w:p w14:paraId="79FCEB72" w14:textId="1E7AC208" w:rsidR="00C52C74" w:rsidRPr="00E732B0" w:rsidRDefault="00C52C74" w:rsidP="00104B70">
      <w:pPr>
        <w:pStyle w:val="ListParagraph"/>
        <w:numPr>
          <w:ilvl w:val="0"/>
          <w:numId w:val="11"/>
        </w:numPr>
      </w:pPr>
      <w:r w:rsidRPr="00E732B0">
        <w:t>The Selection Committee present</w:t>
      </w:r>
      <w:r w:rsidR="00116BCE" w:rsidRPr="00E732B0">
        <w:t>s</w:t>
      </w:r>
      <w:r w:rsidRPr="00E732B0">
        <w:t xml:space="preserve"> the recommended finalist(s) for approval by the CFB voting members.</w:t>
      </w:r>
    </w:p>
    <w:p w14:paraId="1BFD5B9F" w14:textId="24D91D8A" w:rsidR="00104B70" w:rsidRPr="00E732B0" w:rsidRDefault="00104B70" w:rsidP="00104B70">
      <w:pPr>
        <w:pStyle w:val="ListParagraph"/>
        <w:numPr>
          <w:ilvl w:val="0"/>
          <w:numId w:val="11"/>
        </w:numPr>
      </w:pPr>
      <w:r w:rsidRPr="00E732B0">
        <w:t>CFB approves the Chair – the following fee board meeting</w:t>
      </w:r>
      <w:r w:rsidR="004D2DC9" w:rsidRPr="00E732B0">
        <w:t xml:space="preserve"> </w:t>
      </w:r>
      <w:r w:rsidR="00DC4A8D" w:rsidRPr="00E732B0">
        <w:t xml:space="preserve">in March; extended to April </w:t>
      </w:r>
      <w:r w:rsidRPr="00E732B0">
        <w:t xml:space="preserve">or </w:t>
      </w:r>
      <w:r w:rsidR="00DC4A8D" w:rsidRPr="00E732B0">
        <w:t xml:space="preserve">within an </w:t>
      </w:r>
      <w:r w:rsidRPr="00E732B0">
        <w:t>ad</w:t>
      </w:r>
      <w:r w:rsidR="00DC4A8D" w:rsidRPr="00E732B0">
        <w:t>-</w:t>
      </w:r>
      <w:r w:rsidRPr="00E732B0">
        <w:t>hoc meeting if needed</w:t>
      </w:r>
    </w:p>
    <w:p w14:paraId="5A495574" w14:textId="77777777" w:rsidR="00A20C86" w:rsidRDefault="00A20C86" w:rsidP="00046952">
      <w:pPr>
        <w:spacing w:before="120" w:after="120"/>
        <w:rPr>
          <w:b/>
          <w:bCs/>
        </w:rPr>
      </w:pPr>
    </w:p>
    <w:p w14:paraId="61B09A0F" w14:textId="68F00053" w:rsidR="00104B70" w:rsidRPr="00E732B0" w:rsidRDefault="00104B70" w:rsidP="00046952">
      <w:pPr>
        <w:spacing w:before="120" w:after="120"/>
        <w:rPr>
          <w:b/>
          <w:bCs/>
        </w:rPr>
      </w:pPr>
      <w:r w:rsidRPr="00E732B0">
        <w:rPr>
          <w:b/>
          <w:bCs/>
        </w:rPr>
        <w:lastRenderedPageBreak/>
        <w:t>Responsibilities of the CFB Chair</w:t>
      </w:r>
    </w:p>
    <w:p w14:paraId="7D6E22D0" w14:textId="18B6564A" w:rsidR="003E1256" w:rsidRPr="00E732B0" w:rsidRDefault="00104B70" w:rsidP="00104B70">
      <w:pPr>
        <w:pStyle w:val="ListParagraph"/>
        <w:numPr>
          <w:ilvl w:val="0"/>
          <w:numId w:val="16"/>
        </w:numPr>
      </w:pPr>
      <w:r w:rsidRPr="00E732B0">
        <w:t xml:space="preserve">Serves on </w:t>
      </w:r>
      <w:r w:rsidR="00434AAB" w:rsidRPr="00E732B0">
        <w:t xml:space="preserve">the </w:t>
      </w:r>
      <w:r w:rsidRPr="00E732B0">
        <w:t>E-Board of CCSG</w:t>
      </w:r>
    </w:p>
    <w:p w14:paraId="71D56881" w14:textId="77777777" w:rsidR="003E1256" w:rsidRPr="00E732B0" w:rsidRDefault="00104B70" w:rsidP="00104B70">
      <w:pPr>
        <w:pStyle w:val="ListParagraph"/>
        <w:numPr>
          <w:ilvl w:val="0"/>
          <w:numId w:val="16"/>
        </w:numPr>
      </w:pPr>
      <w:r w:rsidRPr="00E732B0">
        <w:t xml:space="preserve">Creates the agendas for the CFB meetings, schedules guest speakers, </w:t>
      </w:r>
      <w:r w:rsidR="003E1256" w:rsidRPr="00E732B0">
        <w:t xml:space="preserve">and </w:t>
      </w:r>
      <w:r w:rsidRPr="00E732B0">
        <w:t xml:space="preserve">chairs </w:t>
      </w:r>
      <w:r w:rsidR="003E1256" w:rsidRPr="00E732B0">
        <w:t>CFB</w:t>
      </w:r>
      <w:r w:rsidRPr="00E732B0">
        <w:t xml:space="preserve"> meetings</w:t>
      </w:r>
    </w:p>
    <w:p w14:paraId="4F56D92F" w14:textId="77777777" w:rsidR="003E1256" w:rsidRPr="00E732B0" w:rsidRDefault="00104B70" w:rsidP="00104B70">
      <w:pPr>
        <w:pStyle w:val="ListParagraph"/>
        <w:numPr>
          <w:ilvl w:val="0"/>
          <w:numId w:val="16"/>
        </w:numPr>
      </w:pPr>
      <w:r w:rsidRPr="00E732B0">
        <w:t>Ensures that the board approves and monitors the CCSG budget, reviews the funding requests supporting university-wide efforts (i.e., CAPS, Student Legal Services), leads the setting of the proposed fee for the CWC</w:t>
      </w:r>
    </w:p>
    <w:p w14:paraId="2B6A7906" w14:textId="603B43F6" w:rsidR="003E1256" w:rsidRPr="00E732B0" w:rsidRDefault="00104B70" w:rsidP="00104B70">
      <w:pPr>
        <w:pStyle w:val="ListParagraph"/>
        <w:numPr>
          <w:ilvl w:val="0"/>
          <w:numId w:val="16"/>
        </w:numPr>
      </w:pPr>
      <w:r w:rsidRPr="00E732B0">
        <w:t xml:space="preserve">Serves on the Student-Initiated Fee Steering Committee, </w:t>
      </w:r>
      <w:r w:rsidR="003E1256" w:rsidRPr="00E732B0">
        <w:t xml:space="preserve">and closely </w:t>
      </w:r>
      <w:r w:rsidRPr="00E732B0">
        <w:t>collaborates with the UPFB Chair</w:t>
      </w:r>
    </w:p>
    <w:p w14:paraId="03012BB6" w14:textId="6C519A77" w:rsidR="00104B70" w:rsidRDefault="00104B70" w:rsidP="00104B70">
      <w:pPr>
        <w:pStyle w:val="ListParagraph"/>
        <w:numPr>
          <w:ilvl w:val="0"/>
          <w:numId w:val="16"/>
        </w:numPr>
      </w:pPr>
      <w:r w:rsidRPr="00E732B0">
        <w:t xml:space="preserve">Coordinates efforts to orient and train CFB members and SGA Presidents to the rules governing the </w:t>
      </w:r>
      <w:r w:rsidR="003E1256" w:rsidRPr="00E732B0">
        <w:t>Student Fee</w:t>
      </w:r>
    </w:p>
    <w:p w14:paraId="5EA4154F" w14:textId="77777777" w:rsidR="00F04622" w:rsidRDefault="00F04622" w:rsidP="00A20C86">
      <w:pPr>
        <w:spacing w:before="200" w:after="120"/>
        <w:jc w:val="center"/>
        <w:rPr>
          <w:b/>
          <w:bCs/>
          <w:sz w:val="24"/>
          <w:szCs w:val="24"/>
          <w:u w:val="single"/>
        </w:rPr>
      </w:pPr>
    </w:p>
    <w:p w14:paraId="16943652" w14:textId="527E9EEF" w:rsidR="44D3998C" w:rsidRPr="00B45694" w:rsidRDefault="44D3998C" w:rsidP="00A20C86">
      <w:pPr>
        <w:spacing w:before="200" w:after="120"/>
        <w:jc w:val="center"/>
        <w:rPr>
          <w:b/>
          <w:bCs/>
          <w:sz w:val="24"/>
          <w:szCs w:val="24"/>
          <w:u w:val="single"/>
        </w:rPr>
      </w:pPr>
      <w:r w:rsidRPr="00B45694">
        <w:rPr>
          <w:b/>
          <w:bCs/>
          <w:sz w:val="24"/>
          <w:szCs w:val="24"/>
          <w:u w:val="single"/>
        </w:rPr>
        <w:t>Central Allocations</w:t>
      </w:r>
    </w:p>
    <w:p w14:paraId="0BA6BA09" w14:textId="6ED9802C" w:rsidR="000D31F8" w:rsidRDefault="7034EF73" w:rsidP="00046952">
      <w:pPr>
        <w:spacing w:before="120" w:after="120"/>
      </w:pPr>
      <w:r w:rsidRPr="000D31F8">
        <w:rPr>
          <w:b/>
          <w:bCs/>
        </w:rPr>
        <w:t>Council of Commonwealth Student Governments (CCSG)</w:t>
      </w:r>
    </w:p>
    <w:p w14:paraId="6BF90D06" w14:textId="38683624" w:rsidR="44D3998C" w:rsidRPr="000D31F8" w:rsidRDefault="7034EF73" w:rsidP="000D31F8">
      <w:pPr>
        <w:rPr>
          <w:rFonts w:asciiTheme="minorEastAsia" w:eastAsiaTheme="minorEastAsia" w:hAnsiTheme="minorEastAsia" w:cstheme="minorEastAsia"/>
        </w:rPr>
      </w:pPr>
      <w:r>
        <w:t xml:space="preserve"> Beginning in 2017-18, </w:t>
      </w:r>
      <w:r w:rsidR="00C42BB5">
        <w:t xml:space="preserve">the </w:t>
      </w:r>
      <w:r>
        <w:t>CFB approved a 54</w:t>
      </w:r>
      <w:r w:rsidR="005E4377">
        <w:t>¢</w:t>
      </w:r>
      <w:r>
        <w:t xml:space="preserve"> per student per semester to cover the majority of the costs of CCSG. These funds could be taken from several sources at the campus’ discretion. (Additional funds are received from the University Park Fee Board for those activities that focus on Central Staff.) Beginning in 2018-19, these funds </w:t>
      </w:r>
      <w:r w:rsidR="002B1ED1">
        <w:t>were</w:t>
      </w:r>
      <w:r>
        <w:t xml:space="preserve"> taken directly from the SIF</w:t>
      </w:r>
      <w:r w:rsidRPr="00E732B0">
        <w:t xml:space="preserve">. </w:t>
      </w:r>
      <w:r w:rsidR="000802E3" w:rsidRPr="00E732B0">
        <w:t xml:space="preserve">The amount increased to </w:t>
      </w:r>
      <w:r w:rsidR="004C158B">
        <w:t>63</w:t>
      </w:r>
      <w:r w:rsidR="000802E3" w:rsidRPr="00E732B0">
        <w:t>¢ for 202</w:t>
      </w:r>
      <w:r w:rsidR="00C4601C">
        <w:t>3</w:t>
      </w:r>
      <w:r w:rsidR="000802E3" w:rsidRPr="00E732B0">
        <w:t>-2</w:t>
      </w:r>
      <w:r w:rsidR="00C4601C">
        <w:t>4</w:t>
      </w:r>
      <w:r w:rsidR="000802E3" w:rsidRPr="00E732B0">
        <w:t>.</w:t>
      </w:r>
      <w:r w:rsidR="00590635" w:rsidRPr="00E732B0">
        <w:t xml:space="preserve"> (See Appendix A for details.)</w:t>
      </w:r>
    </w:p>
    <w:p w14:paraId="17A7724A" w14:textId="0919C1FE" w:rsidR="44D3998C" w:rsidRDefault="44D3998C" w:rsidP="44D3998C">
      <w:pPr>
        <w:pStyle w:val="ListParagraph"/>
        <w:numPr>
          <w:ilvl w:val="0"/>
          <w:numId w:val="9"/>
        </w:numPr>
        <w:rPr>
          <w:rFonts w:eastAsiaTheme="minorEastAsia"/>
        </w:rPr>
      </w:pPr>
      <w:r>
        <w:t xml:space="preserve">CFB timeline – see </w:t>
      </w:r>
      <w:r w:rsidR="006C1193" w:rsidRPr="00E732B0">
        <w:t>the “Meetings and General Timeline” section above</w:t>
      </w:r>
      <w:r w:rsidRPr="00E732B0">
        <w:t xml:space="preserve"> for</w:t>
      </w:r>
      <w:r>
        <w:t xml:space="preserve"> the review of CCSG budget and audit timeline</w:t>
      </w:r>
      <w:r w:rsidR="006C1193">
        <w:t>.</w:t>
      </w:r>
    </w:p>
    <w:p w14:paraId="0AC11A7B" w14:textId="11E736F9" w:rsidR="000D31F8" w:rsidRDefault="44D3998C" w:rsidP="000D31F8">
      <w:pPr>
        <w:pStyle w:val="ListParagraph"/>
        <w:numPr>
          <w:ilvl w:val="0"/>
          <w:numId w:val="9"/>
        </w:numPr>
      </w:pPr>
      <w:r>
        <w:t xml:space="preserve">Carryforward (4/13/2018) – CCSG may request up to 8% of their total budget in carry forward if the funds are available. If the money is going to be requested, it must be done at the April CFB meeting. If there are remaining funds in the CCSG budget, they will be redistributed to the campuses by discounting the next year’s allocation. </w:t>
      </w:r>
    </w:p>
    <w:p w14:paraId="1BB0D468" w14:textId="33EE957C" w:rsidR="000D31F8" w:rsidRDefault="00C62F5B" w:rsidP="00046952">
      <w:pPr>
        <w:spacing w:before="120" w:after="120"/>
        <w:rPr>
          <w:b/>
          <w:bCs/>
        </w:rPr>
      </w:pPr>
      <w:r>
        <w:rPr>
          <w:b/>
          <w:bCs/>
        </w:rPr>
        <w:t>Counseling and Psychological Services (</w:t>
      </w:r>
      <w:r w:rsidR="2A71D783" w:rsidRPr="000D31F8">
        <w:rPr>
          <w:b/>
          <w:bCs/>
        </w:rPr>
        <w:t>CAPS</w:t>
      </w:r>
      <w:r>
        <w:rPr>
          <w:b/>
          <w:bCs/>
        </w:rPr>
        <w:t>)</w:t>
      </w:r>
    </w:p>
    <w:p w14:paraId="6455A161" w14:textId="2878E5F4" w:rsidR="00FE487E" w:rsidRDefault="2A71D783" w:rsidP="000D31F8">
      <w:r>
        <w:t xml:space="preserve">Beginning in 2017-18, </w:t>
      </w:r>
      <w:r w:rsidR="00C42BB5">
        <w:t xml:space="preserve">the </w:t>
      </w:r>
      <w:r w:rsidR="00FC3D9B" w:rsidRPr="00E732B0">
        <w:t>CFB approved a $4.00 per student per semester CAPS fee to support central services that support the campuses. This amount has increased by varying increments since then to a total of $8.</w:t>
      </w:r>
      <w:r w:rsidR="00C4601C">
        <w:t>67</w:t>
      </w:r>
      <w:r w:rsidR="00C4601C" w:rsidRPr="00E732B0">
        <w:t xml:space="preserve"> </w:t>
      </w:r>
      <w:r w:rsidR="00FC3D9B" w:rsidRPr="00E732B0">
        <w:t xml:space="preserve">for </w:t>
      </w:r>
      <w:r w:rsidR="00C4601C">
        <w:t>2023-24</w:t>
      </w:r>
      <w:r w:rsidR="005E25C3" w:rsidRPr="00E732B0">
        <w:t xml:space="preserve"> (</w:t>
      </w:r>
      <w:r w:rsidR="00590635" w:rsidRPr="00E732B0">
        <w:t>S</w:t>
      </w:r>
      <w:r w:rsidR="005E25C3" w:rsidRPr="00E732B0">
        <w:t>ee Appendix A for details.)</w:t>
      </w:r>
      <w:r w:rsidR="00FC3D9B">
        <w:t xml:space="preserve"> </w:t>
      </w:r>
      <w:r w:rsidR="2AF3EBDB">
        <w:t xml:space="preserve">This </w:t>
      </w:r>
      <w:r>
        <w:t xml:space="preserve">amount </w:t>
      </w:r>
      <w:r w:rsidR="2AF3EBDB">
        <w:t xml:space="preserve">is </w:t>
      </w:r>
      <w:r>
        <w:t>calculated based on the number of the previous year’s fee-paying students and is removed from the campus</w:t>
      </w:r>
      <w:r w:rsidR="2AF3EBDB">
        <w:t>’</w:t>
      </w:r>
      <w:r>
        <w:t xml:space="preserve"> budget</w:t>
      </w:r>
      <w:r w:rsidR="2AF3EBDB">
        <w:t>s</w:t>
      </w:r>
      <w:r>
        <w:t xml:space="preserve"> prior to the receipt of the</w:t>
      </w:r>
      <w:r w:rsidR="00C62F5B">
        <w:t xml:space="preserve"> current year’s</w:t>
      </w:r>
      <w:r>
        <w:t xml:space="preserve"> funds.</w:t>
      </w:r>
    </w:p>
    <w:p w14:paraId="1902A119" w14:textId="46F1BD4F" w:rsidR="000A438C" w:rsidRPr="000A438C" w:rsidRDefault="000A438C" w:rsidP="00046952">
      <w:pPr>
        <w:spacing w:before="120" w:after="120"/>
        <w:rPr>
          <w:b/>
          <w:bCs/>
        </w:rPr>
      </w:pPr>
      <w:r w:rsidRPr="000A438C">
        <w:rPr>
          <w:b/>
          <w:bCs/>
        </w:rPr>
        <w:t>Student Legal Services</w:t>
      </w:r>
      <w:r>
        <w:rPr>
          <w:b/>
          <w:bCs/>
        </w:rPr>
        <w:t xml:space="preserve"> (SLS)</w:t>
      </w:r>
    </w:p>
    <w:p w14:paraId="44249680" w14:textId="1D89A4F6" w:rsidR="00A3192C" w:rsidRDefault="000A438C" w:rsidP="00583018">
      <w:r w:rsidRPr="000A438C">
        <w:t xml:space="preserve">Beginning in 2021-22, </w:t>
      </w:r>
      <w:r>
        <w:t xml:space="preserve">the </w:t>
      </w:r>
      <w:r w:rsidRPr="000A438C">
        <w:t xml:space="preserve">CFB approved a $2.56 fee </w:t>
      </w:r>
      <w:r w:rsidRPr="00E732B0">
        <w:t xml:space="preserve">per </w:t>
      </w:r>
      <w:r w:rsidR="00FE5801" w:rsidRPr="00E732B0">
        <w:t>student</w:t>
      </w:r>
      <w:r w:rsidR="00FE5801">
        <w:t xml:space="preserve"> per </w:t>
      </w:r>
      <w:r w:rsidRPr="000A438C">
        <w:t xml:space="preserve">semester to support Student Legal Services </w:t>
      </w:r>
      <w:r w:rsidR="00FE5801" w:rsidRPr="00E22007">
        <w:t>across</w:t>
      </w:r>
      <w:r w:rsidRPr="000A438C">
        <w:t xml:space="preserve"> the campuses</w:t>
      </w:r>
      <w:r w:rsidR="00223326" w:rsidRPr="00E732B0">
        <w:t>. More</w:t>
      </w:r>
      <w:r w:rsidR="00223326">
        <w:t xml:space="preserve"> </w:t>
      </w:r>
      <w:r w:rsidRPr="000A438C">
        <w:t>specifically</w:t>
      </w:r>
      <w:r w:rsidR="00223326">
        <w:t xml:space="preserve">, </w:t>
      </w:r>
      <w:r w:rsidR="00223326" w:rsidRPr="00E732B0">
        <w:t>this was done</w:t>
      </w:r>
      <w:r w:rsidRPr="00E732B0">
        <w:t xml:space="preserve"> to</w:t>
      </w:r>
      <w:r w:rsidRPr="000A438C">
        <w:t xml:space="preserve"> add an attorney </w:t>
      </w:r>
      <w:r w:rsidR="00D47BA5" w:rsidRPr="00E732B0">
        <w:t xml:space="preserve">based </w:t>
      </w:r>
      <w:r w:rsidR="005A628A" w:rsidRPr="00E732B0">
        <w:t>at</w:t>
      </w:r>
      <w:r w:rsidRPr="000A438C">
        <w:t xml:space="preserve"> University Park </w:t>
      </w:r>
      <w:r w:rsidR="00D47BA5">
        <w:t xml:space="preserve">who </w:t>
      </w:r>
      <w:r w:rsidRPr="000A438C">
        <w:t>would assist the campuses with advice, consultation, and assistance in drafting documents. This funding would also support necessary central services and related office costs</w:t>
      </w:r>
      <w:r w:rsidRPr="00E22007">
        <w:t>.</w:t>
      </w:r>
      <w:r w:rsidR="00BA7D90" w:rsidRPr="00E22007">
        <w:t xml:space="preserve"> The amount </w:t>
      </w:r>
      <w:r w:rsidR="006B67D1">
        <w:t xml:space="preserve">is </w:t>
      </w:r>
      <w:r w:rsidR="00BA7D90" w:rsidRPr="00E22007">
        <w:t>$</w:t>
      </w:r>
      <w:r w:rsidR="00165B80">
        <w:t>2.83</w:t>
      </w:r>
      <w:r w:rsidR="009D57E8" w:rsidRPr="00E22007">
        <w:t xml:space="preserve"> for </w:t>
      </w:r>
      <w:r w:rsidR="00165B80">
        <w:t>2023-24</w:t>
      </w:r>
      <w:r w:rsidR="009D57E8" w:rsidRPr="00E22007">
        <w:t>.</w:t>
      </w:r>
      <w:r w:rsidR="00590635" w:rsidRPr="00E22007">
        <w:t xml:space="preserve"> (See Appendix A for details.)</w:t>
      </w:r>
    </w:p>
    <w:p w14:paraId="1453A660" w14:textId="6369BF2D" w:rsidR="00527E5C" w:rsidRDefault="00527E5C" w:rsidP="00046952">
      <w:pPr>
        <w:spacing w:before="120" w:after="120"/>
        <w:rPr>
          <w:b/>
          <w:bCs/>
        </w:rPr>
      </w:pPr>
      <w:r>
        <w:rPr>
          <w:b/>
          <w:bCs/>
        </w:rPr>
        <w:lastRenderedPageBreak/>
        <w:t>Basic Needs</w:t>
      </w:r>
      <w:r w:rsidR="00D830B4">
        <w:rPr>
          <w:b/>
          <w:bCs/>
        </w:rPr>
        <w:t xml:space="preserve"> Support Center</w:t>
      </w:r>
    </w:p>
    <w:p w14:paraId="3620F2C9" w14:textId="01BCFB64" w:rsidR="00527E5C" w:rsidRPr="002764CF" w:rsidRDefault="00AC6454" w:rsidP="00046952">
      <w:pPr>
        <w:spacing w:before="120" w:after="120"/>
      </w:pPr>
      <w:r>
        <w:t xml:space="preserve">Beginning in 2023-24, the CFB approved </w:t>
      </w:r>
      <w:r w:rsidR="00596078">
        <w:t>a $1.91</w:t>
      </w:r>
      <w:r w:rsidR="001B3A8E">
        <w:t xml:space="preserve"> fee per student per semester to support Basic Needs for students at the </w:t>
      </w:r>
      <w:r w:rsidR="00B66AA5">
        <w:t xml:space="preserve">Commonwealth Campuses. </w:t>
      </w:r>
      <w:r w:rsidR="008F200B">
        <w:t>These resources fund one full-time case manager position</w:t>
      </w:r>
      <w:r w:rsidR="00500A7C">
        <w:t xml:space="preserve">. This case manager supports any Commonwealth student who is struggling to access adequate housing, food, healthcare, transportation, and other critical resources. </w:t>
      </w:r>
      <w:r w:rsidR="00E93098">
        <w:t>(See Appendix A for details.)</w:t>
      </w:r>
    </w:p>
    <w:p w14:paraId="35BE89C4" w14:textId="0D79CA54" w:rsidR="004E10C3" w:rsidRPr="000A438C" w:rsidRDefault="004E10C3" w:rsidP="00046952">
      <w:pPr>
        <w:spacing w:before="120" w:after="120"/>
        <w:rPr>
          <w:b/>
          <w:bCs/>
        </w:rPr>
      </w:pPr>
      <w:r>
        <w:rPr>
          <w:b/>
          <w:bCs/>
        </w:rPr>
        <w:t>Commonwealth Fee Board (CFB)</w:t>
      </w:r>
    </w:p>
    <w:p w14:paraId="76697667" w14:textId="508643F0" w:rsidR="004E10C3" w:rsidRDefault="00924803" w:rsidP="00583018">
      <w:r>
        <w:t xml:space="preserve">Beginning in 2022-23, the CFB approved </w:t>
      </w:r>
      <w:r w:rsidR="00271B26">
        <w:t xml:space="preserve">a </w:t>
      </w:r>
      <w:r w:rsidR="00C42BB5">
        <w:t>3¢</w:t>
      </w:r>
      <w:r w:rsidR="00271B26">
        <w:t xml:space="preserve"> fee per student per semester to support the </w:t>
      </w:r>
      <w:r w:rsidR="00573BBC">
        <w:t>operations of the Commonwealth Fee Board.</w:t>
      </w:r>
      <w:r w:rsidR="00BF364A">
        <w:t xml:space="preserve"> No additional allocation was needed for 2023-24</w:t>
      </w:r>
      <w:r w:rsidR="00527E5C">
        <w:t>.</w:t>
      </w:r>
    </w:p>
    <w:p w14:paraId="6136CF4D" w14:textId="30A4FA57" w:rsidR="00583018" w:rsidRDefault="44D3998C" w:rsidP="00046952">
      <w:pPr>
        <w:spacing w:before="120" w:after="120"/>
      </w:pPr>
      <w:r w:rsidRPr="00583018">
        <w:rPr>
          <w:b/>
          <w:bCs/>
        </w:rPr>
        <w:t xml:space="preserve">Student </w:t>
      </w:r>
      <w:r w:rsidR="00C62F5B" w:rsidRPr="00583018">
        <w:rPr>
          <w:b/>
          <w:bCs/>
        </w:rPr>
        <w:t>O</w:t>
      </w:r>
      <w:r w:rsidRPr="00583018">
        <w:rPr>
          <w:b/>
          <w:bCs/>
        </w:rPr>
        <w:t xml:space="preserve">rganization </w:t>
      </w:r>
      <w:r w:rsidR="00C62F5B" w:rsidRPr="00583018">
        <w:rPr>
          <w:b/>
          <w:bCs/>
        </w:rPr>
        <w:t>I</w:t>
      </w:r>
      <w:r w:rsidRPr="00583018">
        <w:rPr>
          <w:b/>
          <w:bCs/>
        </w:rPr>
        <w:t>nsurance</w:t>
      </w:r>
    </w:p>
    <w:p w14:paraId="7003C40B" w14:textId="7D973E74" w:rsidR="00583018" w:rsidRDefault="0067233A" w:rsidP="00583018">
      <w:pPr>
        <w:rPr>
          <w:rFonts w:eastAsiaTheme="minorEastAsia"/>
        </w:rPr>
      </w:pPr>
      <w:r>
        <w:t>L</w:t>
      </w:r>
      <w:r w:rsidR="44D3998C">
        <w:t xml:space="preserve">iability insurance coverage is provided to student organizations under the University insurance umbrella.  </w:t>
      </w:r>
      <w:r w:rsidR="00E93098">
        <w:t xml:space="preserve">Beginning in 2023-24, </w:t>
      </w:r>
      <w:r w:rsidR="002B32C0">
        <w:t xml:space="preserve">the coverage will be paid </w:t>
      </w:r>
      <w:r w:rsidR="0021201B">
        <w:t>directly by</w:t>
      </w:r>
      <w:r w:rsidR="002B32C0">
        <w:t xml:space="preserve"> the Student-Initiated </w:t>
      </w:r>
      <w:r w:rsidR="0021201B">
        <w:t xml:space="preserve">Fee. </w:t>
      </w:r>
    </w:p>
    <w:p w14:paraId="3833FACF" w14:textId="4D1EF02B" w:rsidR="00583018" w:rsidRPr="00583018" w:rsidRDefault="00583018" w:rsidP="00046952">
      <w:pPr>
        <w:spacing w:before="120" w:after="120"/>
        <w:rPr>
          <w:b/>
          <w:bCs/>
        </w:rPr>
      </w:pPr>
      <w:r w:rsidRPr="00583018">
        <w:rPr>
          <w:b/>
          <w:bCs/>
        </w:rPr>
        <w:t>Childcare</w:t>
      </w:r>
      <w:r w:rsidR="7034EF73" w:rsidRPr="00583018">
        <w:rPr>
          <w:b/>
          <w:bCs/>
        </w:rPr>
        <w:t xml:space="preserve"> </w:t>
      </w:r>
      <w:r>
        <w:rPr>
          <w:b/>
          <w:bCs/>
        </w:rPr>
        <w:t>S</w:t>
      </w:r>
      <w:r w:rsidR="7034EF73" w:rsidRPr="00583018">
        <w:rPr>
          <w:b/>
          <w:bCs/>
        </w:rPr>
        <w:t xml:space="preserve">ubsidy </w:t>
      </w:r>
    </w:p>
    <w:p w14:paraId="7C54D2F9" w14:textId="273E6CE5" w:rsidR="44D3998C" w:rsidRDefault="7034EF73" w:rsidP="00583018">
      <w:r>
        <w:t xml:space="preserve">Campuses are asked to contribute to the </w:t>
      </w:r>
      <w:r w:rsidR="00583018">
        <w:t>childcare</w:t>
      </w:r>
      <w:r>
        <w:t xml:space="preserve"> subsidy fund administered centrally. More can be learned about the subsidy at </w:t>
      </w:r>
      <w:hyperlink r:id="rId11">
        <w:r w:rsidRPr="7034EF73">
          <w:rPr>
            <w:rStyle w:val="Hyperlink"/>
          </w:rPr>
          <w:t>https://hr.psu.edu/child-care-subsidy</w:t>
        </w:r>
      </w:hyperlink>
      <w:r>
        <w:t>.</w:t>
      </w:r>
    </w:p>
    <w:p w14:paraId="5C2E785D" w14:textId="77777777" w:rsidR="00F04622" w:rsidRDefault="00F04622" w:rsidP="00F04622">
      <w:pPr>
        <w:spacing w:before="200" w:after="120"/>
        <w:jc w:val="center"/>
        <w:rPr>
          <w:b/>
          <w:bCs/>
          <w:sz w:val="24"/>
          <w:szCs w:val="24"/>
          <w:u w:val="single"/>
        </w:rPr>
      </w:pPr>
    </w:p>
    <w:p w14:paraId="2EAA15E6" w14:textId="5CFFCB7E" w:rsidR="44D3998C" w:rsidRPr="00CA7D9F" w:rsidRDefault="44D3998C" w:rsidP="00F04622">
      <w:pPr>
        <w:spacing w:before="200" w:after="120"/>
        <w:jc w:val="center"/>
        <w:rPr>
          <w:b/>
          <w:bCs/>
          <w:sz w:val="24"/>
          <w:szCs w:val="24"/>
          <w:u w:val="single"/>
        </w:rPr>
      </w:pPr>
      <w:r w:rsidRPr="00CA7D9F">
        <w:rPr>
          <w:b/>
          <w:bCs/>
          <w:sz w:val="24"/>
          <w:szCs w:val="24"/>
          <w:u w:val="single"/>
        </w:rPr>
        <w:t>Fee Levels</w:t>
      </w:r>
    </w:p>
    <w:p w14:paraId="708976AE" w14:textId="5912AA32" w:rsidR="00EA3523" w:rsidRDefault="7034EF73" w:rsidP="00EA3523">
      <w:r>
        <w:t xml:space="preserve">Historically, there had been three tiers to both the </w:t>
      </w:r>
      <w:r w:rsidR="00EB3323">
        <w:t>S</w:t>
      </w:r>
      <w:r>
        <w:t xml:space="preserve">tudent </w:t>
      </w:r>
      <w:r w:rsidR="00EB3323">
        <w:t>Ac</w:t>
      </w:r>
      <w:r>
        <w:t>tivit</w:t>
      </w:r>
      <w:r w:rsidR="003476AD">
        <w:t>ies</w:t>
      </w:r>
      <w:r>
        <w:t xml:space="preserve"> </w:t>
      </w:r>
      <w:r w:rsidR="00EB3323">
        <w:t>F</w:t>
      </w:r>
      <w:r>
        <w:t xml:space="preserve">ee and the </w:t>
      </w:r>
      <w:r w:rsidR="00EB3323">
        <w:t>F</w:t>
      </w:r>
      <w:r>
        <w:t>acilit</w:t>
      </w:r>
      <w:r w:rsidR="00ED269D">
        <w:t>ies</w:t>
      </w:r>
      <w:r>
        <w:t xml:space="preserve"> </w:t>
      </w:r>
      <w:r w:rsidR="00ED269D">
        <w:t>F</w:t>
      </w:r>
      <w:r>
        <w:t xml:space="preserve">ee. Over time, campuses gravitated to the highest tier for the activity fee and the same has been happening for the facility fee. The CFB has been, and continues, working toward one fee level </w:t>
      </w:r>
      <w:r w:rsidRPr="00E22007">
        <w:t>for</w:t>
      </w:r>
      <w:r w:rsidR="00AF3F76" w:rsidRPr="00E22007">
        <w:t xml:space="preserve"> all Commonwealth</w:t>
      </w:r>
      <w:r>
        <w:t xml:space="preserve"> campuses.  </w:t>
      </w:r>
    </w:p>
    <w:p w14:paraId="3FFF74C1" w14:textId="4F927AE2" w:rsidR="31897F53" w:rsidRDefault="44D3998C" w:rsidP="44D3998C">
      <w:pPr>
        <w:pStyle w:val="ListParagraph"/>
        <w:numPr>
          <w:ilvl w:val="0"/>
          <w:numId w:val="2"/>
        </w:numPr>
        <w:spacing w:after="0"/>
        <w:rPr>
          <w:rFonts w:eastAsiaTheme="minorEastAsia"/>
        </w:rPr>
      </w:pPr>
      <w:r>
        <w:t xml:space="preserve">Each November, the CFB will begin initial discussions regarding the fee level. </w:t>
      </w:r>
      <w:r w:rsidR="00B34D2A" w:rsidRPr="00E22007">
        <w:t>During</w:t>
      </w:r>
      <w:r>
        <w:t xml:space="preserve"> this time a series of questions around the use of and need for an increase of the fee will be sent to the Chief Student Affairs Officers.  Similar information will be collected from the SGA </w:t>
      </w:r>
      <w:r w:rsidR="002964C5">
        <w:t>P</w:t>
      </w:r>
      <w:r>
        <w:t>residents. The annual reports from the previous year will also be used to inform the CFB on the usage of the fee</w:t>
      </w:r>
      <w:r w:rsidR="00D15D9C">
        <w:t xml:space="preserve"> monies</w:t>
      </w:r>
      <w:r>
        <w:t>.</w:t>
      </w:r>
    </w:p>
    <w:p w14:paraId="3BB71BB9" w14:textId="6890F7CC" w:rsidR="31897F53" w:rsidRDefault="31897F53" w:rsidP="31897F53">
      <w:pPr>
        <w:pStyle w:val="ListParagraph"/>
        <w:numPr>
          <w:ilvl w:val="0"/>
          <w:numId w:val="2"/>
        </w:numPr>
        <w:spacing w:after="0"/>
        <w:rPr>
          <w:rFonts w:eastAsiaTheme="minorEastAsia"/>
        </w:rPr>
      </w:pPr>
      <w:r>
        <w:t xml:space="preserve">The CFB will review the data collected from the various groups at </w:t>
      </w:r>
      <w:r w:rsidR="00D15D9C">
        <w:t xml:space="preserve">the </w:t>
      </w:r>
      <w:r>
        <w:t xml:space="preserve">February CFB meeting and set an initial fee level.  A formal vote regarding the fee levels, inclusive of all categories of the fee, will be taken at the March CFB meeting.  </w:t>
      </w:r>
    </w:p>
    <w:p w14:paraId="419A7F83" w14:textId="11A38A75" w:rsidR="31897F53" w:rsidRDefault="44D3998C" w:rsidP="068995FC">
      <w:pPr>
        <w:pStyle w:val="ListParagraph"/>
        <w:numPr>
          <w:ilvl w:val="0"/>
          <w:numId w:val="2"/>
        </w:numPr>
        <w:rPr>
          <w:rFonts w:eastAsiaTheme="minorEastAsia"/>
        </w:rPr>
      </w:pPr>
      <w:r>
        <w:t>Currently multiple fee levels exist across the SIF. At the recommendation of the University Budget Office, the CFB has merged the activities/services/recreation portion of the</w:t>
      </w:r>
      <w:r w:rsidR="00D15D9C">
        <w:t xml:space="preserve"> </w:t>
      </w:r>
      <w:r w:rsidR="00ED269D">
        <w:t>Student</w:t>
      </w:r>
      <w:r w:rsidR="00E0452F">
        <w:t>-</w:t>
      </w:r>
      <w:r w:rsidR="00ED269D">
        <w:t>Initiated</w:t>
      </w:r>
      <w:r>
        <w:t xml:space="preserve"> </w:t>
      </w:r>
      <w:r w:rsidR="00ED269D">
        <w:t>F</w:t>
      </w:r>
      <w:r>
        <w:t xml:space="preserve">ee into one level.  A similar process is underway for the facility portion of the fee. </w:t>
      </w:r>
      <w:r w:rsidR="00A85277">
        <w:t xml:space="preserve">Since </w:t>
      </w:r>
      <w:r>
        <w:t xml:space="preserve">2018-19, there are two levels of the facility portion of the fee.   </w:t>
      </w:r>
    </w:p>
    <w:p w14:paraId="709F22C5" w14:textId="6C6D29D6" w:rsidR="00217A0D" w:rsidRPr="00CA7D9F" w:rsidRDefault="7034EF73" w:rsidP="44D3998C">
      <w:pPr>
        <w:pStyle w:val="ListParagraph"/>
        <w:numPr>
          <w:ilvl w:val="0"/>
          <w:numId w:val="2"/>
        </w:numPr>
        <w:rPr>
          <w:rFonts w:asciiTheme="minorEastAsia" w:eastAsiaTheme="minorEastAsia" w:hAnsiTheme="minorEastAsia" w:cstheme="minorEastAsia"/>
        </w:rPr>
      </w:pPr>
      <w:r>
        <w:t>A campus may charge and collect a summer fee. Summer fees are based on 75% of the fall/spring</w:t>
      </w:r>
      <w:r w:rsidR="00CA7D9F">
        <w:t xml:space="preserve"> fee</w:t>
      </w:r>
      <w:r>
        <w:t xml:space="preserve"> levels. All money collected should be used to enhance the out-of-class experience for students in the summer, as found in the fee board manual. </w:t>
      </w:r>
    </w:p>
    <w:p w14:paraId="079B8B83" w14:textId="32EAF36D" w:rsidR="31897F53" w:rsidRPr="00CA7D9F" w:rsidRDefault="44D3998C" w:rsidP="002350D0">
      <w:pPr>
        <w:spacing w:before="120" w:after="120" w:line="240" w:lineRule="auto"/>
        <w:jc w:val="center"/>
        <w:rPr>
          <w:b/>
          <w:bCs/>
          <w:sz w:val="24"/>
          <w:szCs w:val="24"/>
        </w:rPr>
      </w:pPr>
      <w:r w:rsidRPr="00CA7D9F">
        <w:rPr>
          <w:b/>
          <w:bCs/>
          <w:sz w:val="24"/>
          <w:szCs w:val="24"/>
          <w:u w:val="single"/>
        </w:rPr>
        <w:lastRenderedPageBreak/>
        <w:t>SIF Permanent Budgets – Allocations and Adjustments</w:t>
      </w:r>
    </w:p>
    <w:p w14:paraId="1E0A454B" w14:textId="285C09CE" w:rsidR="31897F53" w:rsidRDefault="31897F53" w:rsidP="31897F53">
      <w:pPr>
        <w:pStyle w:val="ListParagraph"/>
        <w:numPr>
          <w:ilvl w:val="0"/>
          <w:numId w:val="13"/>
        </w:numPr>
        <w:spacing w:line="240" w:lineRule="auto"/>
      </w:pPr>
      <w:r>
        <w:t xml:space="preserve">Each campus receives a permanent budget allotment based on </w:t>
      </w:r>
      <w:r w:rsidR="00F25114">
        <w:t xml:space="preserve">the </w:t>
      </w:r>
      <w:r>
        <w:t>previous year</w:t>
      </w:r>
      <w:r w:rsidR="00F25114">
        <w:t>’</w:t>
      </w:r>
      <w:r>
        <w:t>s enrollment.  This allotment is inclusive of the activities, services</w:t>
      </w:r>
      <w:r w:rsidR="00F25114">
        <w:t>,</w:t>
      </w:r>
      <w:r>
        <w:t xml:space="preserve"> and recreation portion of the </w:t>
      </w:r>
      <w:r w:rsidR="00ED269D">
        <w:t>S</w:t>
      </w:r>
      <w:r w:rsidR="00F25114">
        <w:t>tudent</w:t>
      </w:r>
      <w:r w:rsidR="001A6261">
        <w:t>-</w:t>
      </w:r>
      <w:r w:rsidR="00ED269D">
        <w:t>In</w:t>
      </w:r>
      <w:r>
        <w:t xml:space="preserve">itiated </w:t>
      </w:r>
      <w:r w:rsidR="00ED269D">
        <w:t>F</w:t>
      </w:r>
      <w:r>
        <w:t xml:space="preserve">ee. Each campus has a separate facility fee budget/account. </w:t>
      </w:r>
    </w:p>
    <w:p w14:paraId="79AE2EE9" w14:textId="456C30D6" w:rsidR="00FE487E" w:rsidRDefault="31897F53" w:rsidP="006E2C79">
      <w:pPr>
        <w:pStyle w:val="ListParagraph"/>
        <w:numPr>
          <w:ilvl w:val="0"/>
          <w:numId w:val="13"/>
        </w:numPr>
        <w:spacing w:line="240" w:lineRule="auto"/>
      </w:pPr>
      <w:r>
        <w:t xml:space="preserve">As stated in the </w:t>
      </w:r>
      <w:r w:rsidR="001A4159">
        <w:t>Student</w:t>
      </w:r>
      <w:r w:rsidR="00C34E86">
        <w:t>-</w:t>
      </w:r>
      <w:r w:rsidR="001A4159">
        <w:t>Initiated Fee Manual</w:t>
      </w:r>
      <w:r>
        <w:t xml:space="preserve">, minimally, campuses need to hold 5% of their permanent budget in reserve to account for decreases in enrollment.  </w:t>
      </w:r>
    </w:p>
    <w:p w14:paraId="78DF3C9D" w14:textId="43457815" w:rsidR="31897F53" w:rsidRDefault="31897F53" w:rsidP="31897F53">
      <w:pPr>
        <w:pStyle w:val="ListParagraph"/>
        <w:numPr>
          <w:ilvl w:val="0"/>
          <w:numId w:val="13"/>
        </w:numPr>
        <w:spacing w:line="240" w:lineRule="auto"/>
      </w:pPr>
      <w:r>
        <w:t xml:space="preserve">Each fall semester, a campus will receive an allocation letter detailing their permanent budget and recommended reserve. </w:t>
      </w:r>
      <w:r w:rsidR="00F25114">
        <w:t>Early i</w:t>
      </w:r>
      <w:r>
        <w:t xml:space="preserve">n the spring semester, a revised letter will be shared with each campus, detailing a forecasted adjustment to the SIF permanent budget. This can be positive or negative, based on the current enrollment of a campus.  </w:t>
      </w:r>
    </w:p>
    <w:p w14:paraId="63BA64CD" w14:textId="05774D99" w:rsidR="31897F53" w:rsidRDefault="31897F53" w:rsidP="31897F53">
      <w:pPr>
        <w:pStyle w:val="ListParagraph"/>
        <w:numPr>
          <w:ilvl w:val="0"/>
          <w:numId w:val="13"/>
        </w:numPr>
        <w:spacing w:line="240" w:lineRule="auto"/>
      </w:pPr>
      <w:r>
        <w:t xml:space="preserve">At the conclusion of the academic year, a final letter will be shared with each campus detailing all adjustments.  </w:t>
      </w:r>
    </w:p>
    <w:p w14:paraId="0F55405F" w14:textId="347516FC" w:rsidR="31897F53" w:rsidRDefault="31897F53" w:rsidP="31897F53">
      <w:pPr>
        <w:pStyle w:val="ListParagraph"/>
        <w:numPr>
          <w:ilvl w:val="0"/>
          <w:numId w:val="13"/>
        </w:numPr>
        <w:spacing w:line="240" w:lineRule="auto"/>
      </w:pPr>
      <w:r>
        <w:t xml:space="preserve">All allocations and adjustments are processed by the central Student Affairs Finance Office.  </w:t>
      </w:r>
    </w:p>
    <w:p w14:paraId="3D6E160B" w14:textId="73AF1F78" w:rsidR="00247B4A" w:rsidRPr="001F72FB" w:rsidRDefault="44D3998C" w:rsidP="002350D0">
      <w:pPr>
        <w:spacing w:before="120" w:after="120"/>
        <w:rPr>
          <w:b/>
          <w:bCs/>
        </w:rPr>
      </w:pPr>
      <w:r w:rsidRPr="001F72FB">
        <w:rPr>
          <w:b/>
          <w:bCs/>
        </w:rPr>
        <w:t xml:space="preserve">Flexibility of Funds </w:t>
      </w:r>
      <w:r w:rsidR="00F25114" w:rsidRPr="001F72FB">
        <w:rPr>
          <w:b/>
          <w:bCs/>
        </w:rPr>
        <w:t>B</w:t>
      </w:r>
      <w:r w:rsidRPr="001F72FB">
        <w:rPr>
          <w:b/>
          <w:bCs/>
        </w:rPr>
        <w:t>etween Categories</w:t>
      </w:r>
    </w:p>
    <w:p w14:paraId="3CFF950D" w14:textId="129666BF" w:rsidR="00247B4A" w:rsidRDefault="56CA0A44">
      <w:r>
        <w:t xml:space="preserve">With the approval of the Campus Allocating Committee (CAC), a campus may move funds between the activity and facility categories. Up to </w:t>
      </w:r>
      <w:r w:rsidR="18126269">
        <w:t>20</w:t>
      </w:r>
      <w:r>
        <w:t xml:space="preserve">% may be moved between categories, as necessary, each academic year as articulated in the Student Initiated Fee Manual. </w:t>
      </w:r>
      <w:r w:rsidR="4834C436">
        <w:t>(Note: for 2020-21 during the pandemic, the CFB temporarily lifted the limit to moving funds between categories in order to all</w:t>
      </w:r>
      <w:r w:rsidR="61FEB975">
        <w:t xml:space="preserve">ow campuses to best use their resources.) </w:t>
      </w:r>
    </w:p>
    <w:p w14:paraId="26BB526D" w14:textId="77777777" w:rsidR="00F04622" w:rsidRDefault="00F04622" w:rsidP="00F04622">
      <w:pPr>
        <w:spacing w:before="200" w:after="120"/>
        <w:jc w:val="center"/>
        <w:rPr>
          <w:b/>
          <w:bCs/>
          <w:sz w:val="24"/>
          <w:szCs w:val="24"/>
          <w:u w:val="single"/>
        </w:rPr>
      </w:pPr>
    </w:p>
    <w:p w14:paraId="5C5352A7" w14:textId="7DCC6E95" w:rsidR="00247B4A" w:rsidRPr="001C468E" w:rsidRDefault="7034EF73" w:rsidP="00F04622">
      <w:pPr>
        <w:spacing w:before="200" w:after="120"/>
        <w:jc w:val="center"/>
        <w:rPr>
          <w:sz w:val="24"/>
          <w:szCs w:val="24"/>
          <w:u w:val="single"/>
        </w:rPr>
      </w:pPr>
      <w:r w:rsidRPr="001C468E">
        <w:rPr>
          <w:b/>
          <w:bCs/>
          <w:sz w:val="24"/>
          <w:szCs w:val="24"/>
          <w:u w:val="single"/>
        </w:rPr>
        <w:t>Facility Portion of the Fee</w:t>
      </w:r>
    </w:p>
    <w:p w14:paraId="1B37D561" w14:textId="07CB0801" w:rsidR="00247B4A" w:rsidRDefault="7034EF73">
      <w:r>
        <w:t xml:space="preserve">The Commonwealth Facilities Allocation Committee (CFAC) should utilize the facilities operating procedures provided </w:t>
      </w:r>
      <w:r w:rsidR="00F74FDF">
        <w:t xml:space="preserve">by the facility fee guiding principles and </w:t>
      </w:r>
      <w:r>
        <w:t>by the Corporate Controller’s office</w:t>
      </w:r>
      <w:r w:rsidR="00F74FDF">
        <w:t>.</w:t>
      </w:r>
    </w:p>
    <w:p w14:paraId="402193CB" w14:textId="77777777" w:rsidR="00247B4A" w:rsidRPr="00247B4A" w:rsidRDefault="7034EF73" w:rsidP="24E69931">
      <w:pPr>
        <w:spacing w:after="0" w:line="240" w:lineRule="auto"/>
        <w:rPr>
          <w:rFonts w:ascii="Calibri,Times New Roman" w:eastAsia="Calibri,Times New Roman" w:hAnsi="Calibri,Times New Roman" w:cs="Calibri,Times New Roman"/>
        </w:rPr>
      </w:pPr>
      <w:r w:rsidRPr="7034EF73">
        <w:rPr>
          <w:rFonts w:ascii="Calibri" w:eastAsia="Calibri" w:hAnsi="Calibri" w:cs="Calibri"/>
        </w:rPr>
        <w:t xml:space="preserve">Penn State approved a student facilities fee that was implemented in Fall 2008.  Each campus has differing priorities or approaches to the use of this fee; however, a common set of broad, defining principles assist in ensuring its consistent administration and understanding.   </w:t>
      </w:r>
    </w:p>
    <w:p w14:paraId="493B71F9" w14:textId="6DB6E946" w:rsidR="00247B4A" w:rsidRPr="00315107" w:rsidRDefault="7034EF73" w:rsidP="003939C4">
      <w:pPr>
        <w:spacing w:before="120" w:after="120" w:line="240" w:lineRule="auto"/>
        <w:outlineLvl w:val="0"/>
        <w:rPr>
          <w:rFonts w:ascii="Calibri,Times New Roman" w:eastAsia="Calibri,Times New Roman" w:hAnsi="Calibri,Times New Roman" w:cs="Calibri,Times New Roman"/>
          <w:b/>
          <w:bCs/>
          <w:u w:val="single"/>
        </w:rPr>
      </w:pPr>
      <w:r w:rsidRPr="00315107">
        <w:rPr>
          <w:rFonts w:ascii="Calibri" w:eastAsia="Calibri" w:hAnsi="Calibri" w:cs="Calibri"/>
          <w:b/>
          <w:bCs/>
          <w:u w:val="single"/>
        </w:rPr>
        <w:t>Guiding Principles</w:t>
      </w:r>
      <w:r w:rsidR="24E69931" w:rsidRPr="00315107">
        <w:rPr>
          <w:rStyle w:val="FootnoteReference"/>
          <w:rFonts w:ascii="Calibri,Times New Roman" w:eastAsia="Calibri,Times New Roman" w:hAnsi="Calibri,Times New Roman" w:cs="Calibri,Times New Roman"/>
          <w:b/>
          <w:bCs/>
          <w:u w:val="single"/>
        </w:rPr>
        <w:footnoteReference w:id="3"/>
      </w:r>
    </w:p>
    <w:p w14:paraId="555A0301" w14:textId="77777777" w:rsidR="00247B4A" w:rsidRPr="00247B4A" w:rsidRDefault="7034EF73" w:rsidP="7034EF73">
      <w:pPr>
        <w:spacing w:after="0" w:line="240" w:lineRule="auto"/>
        <w:contextualSpacing/>
        <w:outlineLvl w:val="0"/>
        <w:rPr>
          <w:rFonts w:ascii="Calibri,Times New Roman" w:eastAsia="Calibri,Times New Roman" w:hAnsi="Calibri,Times New Roman" w:cs="Calibri,Times New Roman"/>
          <w:i/>
          <w:iCs/>
        </w:rPr>
      </w:pPr>
      <w:r w:rsidRPr="7034EF73">
        <w:rPr>
          <w:rFonts w:ascii="Calibri" w:eastAsia="Calibri" w:hAnsi="Calibri" w:cs="Calibri"/>
          <w:i/>
          <w:iCs/>
        </w:rPr>
        <w:t>Funding Parameters of the Facilities Fee</w:t>
      </w:r>
    </w:p>
    <w:p w14:paraId="14FAC118"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 xml:space="preserve">Monies generated from the facilities fee will be used to accommodate improvements and expansions to non-academic, recreational and/or multi-use space for students.  </w:t>
      </w:r>
    </w:p>
    <w:p w14:paraId="126160B1"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The facilities fee will not be used to support on-going operational costs associated with any project.</w:t>
      </w:r>
    </w:p>
    <w:p w14:paraId="33BCF6D1"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The facilities fee will not be used to pay debt service.</w:t>
      </w:r>
    </w:p>
    <w:p w14:paraId="089BFA85"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The facilities fee will not be used to pay for rental agreements.</w:t>
      </w:r>
    </w:p>
    <w:p w14:paraId="4A9C3BED"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Monies raised from the facilities fee at a particular location will be used at that location.</w:t>
      </w:r>
    </w:p>
    <w:p w14:paraId="398C1434" w14:textId="3A03D5E5" w:rsidR="00247B4A" w:rsidRPr="00247B4A" w:rsidRDefault="7034EF73" w:rsidP="7034EF73">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7034EF73">
        <w:rPr>
          <w:rFonts w:ascii="Calibri" w:eastAsia="Calibri" w:hAnsi="Calibri" w:cs="Calibri"/>
        </w:rPr>
        <w:lastRenderedPageBreak/>
        <w:t>Monies not spent in a particular year will be carried forward from year to year until enough funds are generated to complete an approved project. Interest will be credited (using the University’s short-term rate) on an annual basis to any unused funds.</w:t>
      </w:r>
    </w:p>
    <w:p w14:paraId="343FF5D3"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New facilities or modifications to current facilities will be consistent with the campus’ strategic and master physical facilities plans.</w:t>
      </w:r>
    </w:p>
    <w:p w14:paraId="6ADC32DE" w14:textId="77777777" w:rsidR="00247B4A" w:rsidRPr="00247B4A" w:rsidRDefault="24E69931" w:rsidP="24E69931">
      <w:pPr>
        <w:numPr>
          <w:ilvl w:val="0"/>
          <w:numId w:val="6"/>
        </w:numPr>
        <w:tabs>
          <w:tab w:val="num" w:pos="540"/>
        </w:tabs>
        <w:spacing w:after="0" w:line="240" w:lineRule="auto"/>
        <w:ind w:left="540"/>
        <w:contextualSpacing/>
        <w:rPr>
          <w:rFonts w:ascii="Calibri,Times New Roman" w:eastAsia="Calibri,Times New Roman" w:hAnsi="Calibri,Times New Roman" w:cs="Calibri,Times New Roman"/>
        </w:rPr>
      </w:pPr>
      <w:r w:rsidRPr="24E69931">
        <w:rPr>
          <w:rFonts w:ascii="Calibri" w:eastAsia="Calibri" w:hAnsi="Calibri" w:cs="Calibri"/>
        </w:rPr>
        <w:t xml:space="preserve">In addition to these guiding principles, use of the fees must follow the operating procedures for the Commonwealth Campuses. </w:t>
      </w:r>
    </w:p>
    <w:p w14:paraId="5A39BBE3" w14:textId="77777777" w:rsidR="00247B4A" w:rsidRPr="00247B4A" w:rsidRDefault="00247B4A" w:rsidP="24E69931">
      <w:pPr>
        <w:spacing w:after="0" w:line="240" w:lineRule="auto"/>
        <w:contextualSpacing/>
        <w:rPr>
          <w:rFonts w:ascii="Calibri,Times New Roman" w:eastAsia="Calibri,Times New Roman" w:hAnsi="Calibri,Times New Roman" w:cs="Calibri,Times New Roman"/>
        </w:rPr>
      </w:pPr>
    </w:p>
    <w:p w14:paraId="3B6D874B" w14:textId="77777777" w:rsidR="00247B4A" w:rsidRPr="0015274B" w:rsidRDefault="7034EF73" w:rsidP="7034EF73">
      <w:pPr>
        <w:spacing w:after="0" w:line="240" w:lineRule="auto"/>
        <w:contextualSpacing/>
        <w:outlineLvl w:val="0"/>
        <w:rPr>
          <w:rFonts w:ascii="Calibri,Times New Roman" w:eastAsia="Calibri,Times New Roman" w:hAnsi="Calibri,Times New Roman" w:cs="Calibri,Times New Roman"/>
          <w:i/>
          <w:iCs/>
        </w:rPr>
      </w:pPr>
      <w:r w:rsidRPr="7034EF73">
        <w:rPr>
          <w:rFonts w:ascii="Calibri" w:eastAsia="Calibri" w:hAnsi="Calibri" w:cs="Calibri"/>
          <w:i/>
          <w:iCs/>
        </w:rPr>
        <w:t>Composition of Facilities Fee Advisory Committee</w:t>
      </w:r>
      <w:r w:rsidRPr="7034EF73">
        <w:rPr>
          <w:rFonts w:ascii="Calibri,Times New Roman" w:eastAsia="Calibri,Times New Roman" w:hAnsi="Calibri,Times New Roman" w:cs="Calibri,Times New Roman"/>
          <w:i/>
          <w:iCs/>
        </w:rPr>
        <w:t xml:space="preserve">  </w:t>
      </w:r>
    </w:p>
    <w:p w14:paraId="6CB5A749" w14:textId="77777777" w:rsidR="00247B4A" w:rsidRPr="0015274B" w:rsidRDefault="24E69931" w:rsidP="24E69931">
      <w:pPr>
        <w:numPr>
          <w:ilvl w:val="0"/>
          <w:numId w:val="7"/>
        </w:numPr>
        <w:spacing w:after="0" w:line="240" w:lineRule="auto"/>
        <w:ind w:left="540"/>
        <w:contextualSpacing/>
        <w:rPr>
          <w:rFonts w:ascii="Calibri,Times New Roman" w:eastAsia="Calibri,Times New Roman" w:hAnsi="Calibri,Times New Roman" w:cs="Calibri,Times New Roman"/>
        </w:rPr>
      </w:pPr>
      <w:r w:rsidRPr="0015274B">
        <w:rPr>
          <w:rFonts w:ascii="Calibri" w:eastAsia="Calibri" w:hAnsi="Calibri" w:cs="Calibri"/>
        </w:rPr>
        <w:t xml:space="preserve">Each campus will establish a broadly representative committee to recommend and advise the Chancellor on the proposed use of these funds.  </w:t>
      </w:r>
    </w:p>
    <w:p w14:paraId="51134317" w14:textId="77777777" w:rsidR="00247B4A" w:rsidRPr="0015274B" w:rsidRDefault="24E69931" w:rsidP="24E69931">
      <w:pPr>
        <w:numPr>
          <w:ilvl w:val="0"/>
          <w:numId w:val="7"/>
        </w:numPr>
        <w:spacing w:after="0" w:line="240" w:lineRule="auto"/>
        <w:ind w:left="540"/>
        <w:contextualSpacing/>
        <w:rPr>
          <w:rFonts w:ascii="Calibri,Times New Roman" w:eastAsia="Calibri,Times New Roman" w:hAnsi="Calibri,Times New Roman" w:cs="Calibri,Times New Roman"/>
        </w:rPr>
      </w:pPr>
      <w:r w:rsidRPr="0015274B">
        <w:rPr>
          <w:rFonts w:ascii="Calibri" w:eastAsia="Calibri" w:hAnsi="Calibri" w:cs="Calibri"/>
        </w:rPr>
        <w:t xml:space="preserve">Committee membership should include 4 to 6 student representatives appointed through the Student Government Association and representing a variety of student populations, the lead student affairs and business services officers, a representative from the Campus Senate responsible for student life and/or physical facilities issues, and a representative of the development office. </w:t>
      </w:r>
    </w:p>
    <w:p w14:paraId="54F9AE05" w14:textId="77777777" w:rsidR="00247B4A" w:rsidRPr="0015274B" w:rsidRDefault="00247B4A" w:rsidP="00247B4A">
      <w:pPr>
        <w:spacing w:after="0" w:line="240" w:lineRule="auto"/>
        <w:ind w:left="720"/>
        <w:contextualSpacing/>
        <w:rPr>
          <w:rFonts w:ascii="Calibri" w:eastAsia="Calibri" w:hAnsi="Calibri" w:cs="Times New Roman"/>
        </w:rPr>
      </w:pPr>
      <w:r w:rsidRPr="0015274B">
        <w:rPr>
          <w:rFonts w:ascii="Calibri" w:eastAsia="Calibri" w:hAnsi="Calibri" w:cs="Times New Roman"/>
        </w:rPr>
        <w:t xml:space="preserve">   </w:t>
      </w:r>
    </w:p>
    <w:p w14:paraId="4D5EF915" w14:textId="77777777" w:rsidR="00247B4A" w:rsidRPr="0015274B" w:rsidRDefault="7034EF73" w:rsidP="7034EF73">
      <w:pPr>
        <w:spacing w:after="0" w:line="240" w:lineRule="auto"/>
        <w:contextualSpacing/>
        <w:outlineLvl w:val="0"/>
        <w:rPr>
          <w:rFonts w:ascii="Calibri,Times New Roman" w:eastAsia="Calibri,Times New Roman" w:hAnsi="Calibri,Times New Roman" w:cs="Calibri,Times New Roman"/>
        </w:rPr>
      </w:pPr>
      <w:r w:rsidRPr="7034EF73">
        <w:rPr>
          <w:rFonts w:ascii="Calibri" w:eastAsia="Calibri" w:hAnsi="Calibri" w:cs="Calibri"/>
          <w:i/>
          <w:iCs/>
        </w:rPr>
        <w:t>Expectations of Facilities Fee Committee</w:t>
      </w:r>
      <w:r w:rsidRPr="7034EF73">
        <w:rPr>
          <w:rFonts w:ascii="Calibri,Times New Roman" w:eastAsia="Calibri,Times New Roman" w:hAnsi="Calibri,Times New Roman" w:cs="Calibri,Times New Roman"/>
          <w:i/>
          <w:iCs/>
        </w:rPr>
        <w:t xml:space="preserve"> </w:t>
      </w:r>
      <w:r w:rsidRPr="7034EF73">
        <w:rPr>
          <w:rFonts w:ascii="Calibri,Times New Roman" w:eastAsia="Calibri,Times New Roman" w:hAnsi="Calibri,Times New Roman" w:cs="Calibri,Times New Roman"/>
        </w:rPr>
        <w:t xml:space="preserve"> </w:t>
      </w:r>
    </w:p>
    <w:p w14:paraId="3DDA646F" w14:textId="77777777" w:rsidR="00247B4A" w:rsidRPr="0015274B" w:rsidRDefault="00247B4A" w:rsidP="00247B4A">
      <w:pPr>
        <w:numPr>
          <w:ilvl w:val="0"/>
          <w:numId w:val="8"/>
        </w:numPr>
        <w:tabs>
          <w:tab w:val="num" w:pos="540"/>
        </w:tabs>
        <w:spacing w:after="0" w:line="240" w:lineRule="auto"/>
        <w:ind w:left="540"/>
        <w:contextualSpacing/>
        <w:rPr>
          <w:rFonts w:ascii="Calibri" w:eastAsia="Calibri" w:hAnsi="Calibri" w:cs="Times New Roman"/>
        </w:rPr>
      </w:pPr>
      <w:r w:rsidRPr="0015274B">
        <w:rPr>
          <w:rFonts w:ascii="Calibri" w:eastAsia="Calibri" w:hAnsi="Calibri" w:cs="Times New Roman"/>
        </w:rPr>
        <w:t xml:space="preserve">This committee will make every effort to secure wide input into the proposed use and administration of these fees before reviewing and recommending proposals to the Chancellor.  </w:t>
      </w:r>
    </w:p>
    <w:p w14:paraId="62BFAB79" w14:textId="77777777" w:rsidR="00247B4A" w:rsidRPr="0015274B" w:rsidRDefault="00247B4A" w:rsidP="00247B4A">
      <w:pPr>
        <w:numPr>
          <w:ilvl w:val="0"/>
          <w:numId w:val="8"/>
        </w:numPr>
        <w:tabs>
          <w:tab w:val="num" w:pos="540"/>
        </w:tabs>
        <w:spacing w:after="0" w:line="240" w:lineRule="auto"/>
        <w:ind w:left="540"/>
        <w:contextualSpacing/>
        <w:rPr>
          <w:rFonts w:ascii="Calibri" w:eastAsia="Calibri" w:hAnsi="Calibri" w:cs="Times New Roman"/>
        </w:rPr>
      </w:pPr>
      <w:r w:rsidRPr="0015274B">
        <w:rPr>
          <w:rFonts w:ascii="Calibri" w:eastAsia="Calibri" w:hAnsi="Calibri" w:cs="Times New Roman"/>
        </w:rPr>
        <w:t xml:space="preserve">The committee will meet at least twice a semester. If no proposals are being reviewed, the committee may use the time to receive updates on current projects or discuss future projects. </w:t>
      </w:r>
    </w:p>
    <w:p w14:paraId="535EBA59" w14:textId="77777777" w:rsidR="00247B4A" w:rsidRPr="0015274B" w:rsidRDefault="00247B4A" w:rsidP="00247B4A">
      <w:pPr>
        <w:numPr>
          <w:ilvl w:val="0"/>
          <w:numId w:val="8"/>
        </w:numPr>
        <w:tabs>
          <w:tab w:val="num" w:pos="540"/>
        </w:tabs>
        <w:spacing w:after="0" w:line="240" w:lineRule="auto"/>
        <w:ind w:left="540"/>
        <w:contextualSpacing/>
        <w:rPr>
          <w:rFonts w:ascii="Calibri" w:eastAsia="Calibri" w:hAnsi="Calibri" w:cs="Times New Roman"/>
        </w:rPr>
      </w:pPr>
      <w:r w:rsidRPr="0015274B">
        <w:rPr>
          <w:rFonts w:ascii="Calibri" w:eastAsia="Calibri" w:hAnsi="Calibri" w:cs="Times New Roman"/>
        </w:rPr>
        <w:t xml:space="preserve">The committee should establish processes to fund smaller, short-term projects, as well as to fund larger, long-term projects.  The committee may want to set aside a smaller pool of money for more immediate projects when funding multi-year efforts. </w:t>
      </w:r>
    </w:p>
    <w:p w14:paraId="26FDD101" w14:textId="77777777" w:rsidR="00247B4A" w:rsidRPr="0015274B" w:rsidRDefault="00247B4A" w:rsidP="00247B4A">
      <w:pPr>
        <w:numPr>
          <w:ilvl w:val="0"/>
          <w:numId w:val="8"/>
        </w:numPr>
        <w:tabs>
          <w:tab w:val="num" w:pos="540"/>
        </w:tabs>
        <w:spacing w:after="0" w:line="240" w:lineRule="auto"/>
        <w:ind w:left="540"/>
        <w:contextualSpacing/>
        <w:rPr>
          <w:rFonts w:ascii="Calibri" w:eastAsia="Calibri" w:hAnsi="Calibri" w:cs="Times New Roman"/>
        </w:rPr>
      </w:pPr>
      <w:r w:rsidRPr="0015274B">
        <w:rPr>
          <w:rFonts w:ascii="Calibri" w:eastAsia="Calibri" w:hAnsi="Calibri" w:cs="Times New Roman"/>
        </w:rPr>
        <w:t xml:space="preserve">This committee will provide to the campus community an annual statement regarding the disposition of the student facilities fee.   </w:t>
      </w:r>
    </w:p>
    <w:p w14:paraId="41C8F396" w14:textId="77777777" w:rsidR="00247B4A" w:rsidRPr="0015274B" w:rsidRDefault="00247B4A" w:rsidP="00247B4A">
      <w:pPr>
        <w:spacing w:after="0" w:line="240" w:lineRule="auto"/>
        <w:contextualSpacing/>
        <w:rPr>
          <w:rFonts w:ascii="Calibri" w:eastAsia="Calibri" w:hAnsi="Calibri" w:cs="Times New Roman"/>
        </w:rPr>
      </w:pPr>
    </w:p>
    <w:p w14:paraId="30F4383C" w14:textId="6B95AC3E" w:rsidR="00247B4A" w:rsidRPr="0015274B" w:rsidRDefault="7034EF73" w:rsidP="7034EF73">
      <w:pPr>
        <w:spacing w:after="0" w:line="240" w:lineRule="auto"/>
        <w:contextualSpacing/>
        <w:rPr>
          <w:rFonts w:ascii="Calibri" w:eastAsia="Calibri" w:hAnsi="Calibri" w:cs="Calibri"/>
          <w:i/>
          <w:iCs/>
        </w:rPr>
      </w:pPr>
      <w:r w:rsidRPr="7034EF73">
        <w:rPr>
          <w:rFonts w:ascii="Calibri" w:eastAsia="Calibri" w:hAnsi="Calibri" w:cs="Calibri"/>
          <w:i/>
          <w:iCs/>
        </w:rPr>
        <w:t>Additional Sources of Funding</w:t>
      </w:r>
    </w:p>
    <w:p w14:paraId="6F24ADD2" w14:textId="6143F7D0" w:rsidR="00247B4A" w:rsidRDefault="7034EF73" w:rsidP="7034EF73">
      <w:pPr>
        <w:spacing w:after="0" w:line="240" w:lineRule="auto"/>
        <w:contextualSpacing/>
        <w:rPr>
          <w:rFonts w:ascii="Calibri" w:eastAsia="Calibri" w:hAnsi="Calibri" w:cs="Calibri"/>
        </w:rPr>
      </w:pPr>
      <w:r w:rsidRPr="7034EF73">
        <w:rPr>
          <w:rFonts w:ascii="Calibri" w:eastAsia="Calibri" w:hAnsi="Calibri" w:cs="Calibri"/>
        </w:rPr>
        <w:t xml:space="preserve">Each campus should make every effort to explore additional sources of financial support for any proposed capital expansion project to assist in minimizing fees charged to students. </w:t>
      </w:r>
    </w:p>
    <w:p w14:paraId="5A1994C3" w14:textId="77777777" w:rsidR="00933AAB" w:rsidRPr="0015274B" w:rsidRDefault="00933AAB" w:rsidP="7034EF73">
      <w:pPr>
        <w:spacing w:after="0" w:line="240" w:lineRule="auto"/>
        <w:contextualSpacing/>
        <w:rPr>
          <w:rFonts w:ascii="Calibri,Times New Roman" w:eastAsia="Calibri,Times New Roman" w:hAnsi="Calibri,Times New Roman" w:cs="Calibri,Times New Roman"/>
          <w:b/>
          <w:bCs/>
          <w:u w:val="single"/>
        </w:rPr>
      </w:pPr>
    </w:p>
    <w:p w14:paraId="1AB84309" w14:textId="2342CC59" w:rsidR="009608CD" w:rsidRPr="0015274B" w:rsidRDefault="009608CD" w:rsidP="009608CD">
      <w:pPr>
        <w:spacing w:after="0" w:line="240" w:lineRule="auto"/>
        <w:contextualSpacing/>
        <w:rPr>
          <w:rFonts w:ascii="Calibri" w:eastAsia="Calibri" w:hAnsi="Calibri" w:cs="Calibri"/>
          <w:i/>
          <w:iCs/>
        </w:rPr>
      </w:pPr>
      <w:r>
        <w:rPr>
          <w:rFonts w:ascii="Calibri" w:eastAsia="Calibri" w:hAnsi="Calibri" w:cs="Calibri"/>
          <w:i/>
          <w:iCs/>
        </w:rPr>
        <w:t>Operating Procedure</w:t>
      </w:r>
      <w:r w:rsidRPr="009608CD">
        <w:rPr>
          <w:rFonts w:ascii="Calibri" w:eastAsia="Calibri" w:hAnsi="Calibri" w:cs="Calibri"/>
          <w:i/>
          <w:iCs/>
        </w:rPr>
        <w:t>s</w:t>
      </w:r>
      <w:r w:rsidR="00211952">
        <w:rPr>
          <w:rStyle w:val="FootnoteReference"/>
          <w:rFonts w:ascii="Calibri" w:eastAsia="Calibri" w:hAnsi="Calibri" w:cs="Calibri"/>
          <w:i/>
          <w:iCs/>
        </w:rPr>
        <w:footnoteReference w:id="4"/>
      </w:r>
    </w:p>
    <w:p w14:paraId="3F18694C" w14:textId="036EE37B" w:rsidR="009608CD" w:rsidRPr="009608CD" w:rsidRDefault="009608CD" w:rsidP="009608CD">
      <w:pPr>
        <w:rPr>
          <w:rFonts w:ascii="Calibri" w:eastAsia="Calibri" w:hAnsi="Calibri" w:cs="Calibri"/>
        </w:rPr>
      </w:pPr>
      <w:r w:rsidRPr="7034EF73">
        <w:rPr>
          <w:rStyle w:val="normaltextrun"/>
          <w:rFonts w:ascii="Calibri" w:eastAsia="Calibri" w:hAnsi="Calibri" w:cs="Calibri"/>
        </w:rPr>
        <w:t>Facility fees are used to fund improvements and expansions to non-academic, recreational, and multi-use space for students based on the Guiding Principles for the Commonwealth Campuses.  Projected income and the associated expense were budgeted permanently beginning in FY 2008-2009. Temporary adjustments are made each spring to reconcile projected income with actual. </w:t>
      </w:r>
    </w:p>
    <w:p w14:paraId="76354CBD" w14:textId="5BC84EC8" w:rsidR="00247B4A" w:rsidRDefault="7034EF73" w:rsidP="7034EF73">
      <w:pPr>
        <w:pStyle w:val="paragraph"/>
        <w:spacing w:before="0" w:beforeAutospacing="0" w:after="0" w:afterAutospacing="0"/>
        <w:textAlignment w:val="baseline"/>
        <w:rPr>
          <w:rStyle w:val="normaltextrun"/>
          <w:rFonts w:ascii="Calibri" w:eastAsia="Calibri" w:hAnsi="Calibri" w:cs="Calibri"/>
          <w:i/>
          <w:iCs/>
          <w:sz w:val="22"/>
          <w:szCs w:val="22"/>
        </w:rPr>
      </w:pPr>
      <w:r w:rsidRPr="7034EF73">
        <w:rPr>
          <w:rStyle w:val="normaltextrun"/>
          <w:rFonts w:ascii="Calibri" w:eastAsia="Calibri" w:hAnsi="Calibri" w:cs="Calibri"/>
          <w:i/>
          <w:iCs/>
          <w:sz w:val="22"/>
          <w:szCs w:val="22"/>
        </w:rPr>
        <w:t>Expense</w:t>
      </w:r>
    </w:p>
    <w:p w14:paraId="053758CB" w14:textId="474B214B" w:rsidR="00247B4A" w:rsidRDefault="7034EF73" w:rsidP="7034EF73">
      <w:pPr>
        <w:pStyle w:val="paragraph"/>
        <w:spacing w:before="0" w:beforeAutospacing="0" w:after="0" w:afterAutospacing="0"/>
        <w:textAlignment w:val="baseline"/>
        <w:rPr>
          <w:rFonts w:ascii="Segoe UI" w:eastAsia="Segoe UI" w:hAnsi="Segoe UI" w:cs="Segoe UI"/>
          <w:sz w:val="18"/>
          <w:szCs w:val="18"/>
        </w:rPr>
      </w:pPr>
      <w:r w:rsidRPr="7034EF73">
        <w:rPr>
          <w:rStyle w:val="normaltextrun"/>
          <w:rFonts w:ascii="Calibri" w:eastAsia="Calibri" w:hAnsi="Calibri" w:cs="Calibri"/>
          <w:sz w:val="22"/>
          <w:szCs w:val="22"/>
        </w:rPr>
        <w:t>Initially, the expense budgets for each participating campus were housed under the Office of the Corporate Controller.  The expense budgets were transitioned in 2010-11 to each campus administrative area for utilization and monitoring by the campus Financial Officer.   </w:t>
      </w:r>
    </w:p>
    <w:p w14:paraId="781D422B" w14:textId="1B0BE5B3" w:rsidR="00247B4A" w:rsidRDefault="00247B4A" w:rsidP="7034EF73">
      <w:pPr>
        <w:pStyle w:val="paragraph"/>
        <w:spacing w:before="0" w:beforeAutospacing="0" w:after="0" w:afterAutospacing="0"/>
        <w:textAlignment w:val="baseline"/>
        <w:rPr>
          <w:rStyle w:val="normaltextrun"/>
          <w:rFonts w:ascii="Calibri" w:eastAsia="Calibri" w:hAnsi="Calibri" w:cs="Calibri"/>
          <w:sz w:val="22"/>
          <w:szCs w:val="22"/>
        </w:rPr>
      </w:pPr>
    </w:p>
    <w:p w14:paraId="1FF72951" w14:textId="1892AC1D" w:rsidR="00247B4A" w:rsidRDefault="7034EF73" w:rsidP="7034EF73">
      <w:pPr>
        <w:pStyle w:val="paragraph"/>
        <w:spacing w:before="0" w:beforeAutospacing="0" w:after="0" w:afterAutospacing="0"/>
        <w:textAlignment w:val="baseline"/>
        <w:rPr>
          <w:rFonts w:ascii="Segoe UI" w:eastAsia="Segoe UI" w:hAnsi="Segoe UI" w:cs="Segoe UI"/>
          <w:sz w:val="18"/>
          <w:szCs w:val="18"/>
        </w:rPr>
      </w:pPr>
      <w:r w:rsidRPr="7034EF73">
        <w:rPr>
          <w:rStyle w:val="normaltextrun"/>
          <w:rFonts w:ascii="Calibri" w:eastAsia="Calibri" w:hAnsi="Calibri" w:cs="Calibri"/>
          <w:sz w:val="22"/>
          <w:szCs w:val="22"/>
        </w:rPr>
        <w:t>In conjunction with the Guiding Principles, the following procedures are provided to facilitate the use of these funds: </w:t>
      </w:r>
    </w:p>
    <w:p w14:paraId="49BDDEC4" w14:textId="64505346" w:rsidR="00247B4A" w:rsidRDefault="7034EF73" w:rsidP="7034EF73">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7034EF73">
        <w:rPr>
          <w:rStyle w:val="normaltextrun"/>
          <w:rFonts w:ascii="Calibri" w:eastAsia="Calibri" w:hAnsi="Calibri" w:cs="Calibri"/>
          <w:sz w:val="22"/>
          <w:szCs w:val="22"/>
        </w:rPr>
        <w:lastRenderedPageBreak/>
        <w:t>For projects $</w:t>
      </w:r>
      <w:r w:rsidR="00FD68E2">
        <w:rPr>
          <w:rStyle w:val="normaltextrun"/>
          <w:rFonts w:ascii="Calibri" w:eastAsia="Calibri" w:hAnsi="Calibri" w:cs="Calibri"/>
          <w:sz w:val="22"/>
          <w:szCs w:val="22"/>
        </w:rPr>
        <w:t>85</w:t>
      </w:r>
      <w:r w:rsidRPr="7034EF73">
        <w:rPr>
          <w:rStyle w:val="normaltextrun"/>
          <w:rFonts w:ascii="Calibri" w:eastAsia="Calibri" w:hAnsi="Calibri" w:cs="Calibri"/>
          <w:sz w:val="22"/>
          <w:szCs w:val="22"/>
        </w:rPr>
        <w:t>,000</w:t>
      </w:r>
      <w:r w:rsidR="00FD68E2">
        <w:rPr>
          <w:rStyle w:val="FootnoteReference"/>
          <w:rFonts w:ascii="Calibri" w:eastAsia="Calibri" w:hAnsi="Calibri" w:cs="Calibri"/>
          <w:sz w:val="22"/>
          <w:szCs w:val="22"/>
        </w:rPr>
        <w:footnoteReference w:id="5"/>
      </w:r>
      <w:r w:rsidRPr="7034EF73">
        <w:rPr>
          <w:rStyle w:val="normaltextrun"/>
          <w:rFonts w:ascii="Calibri" w:eastAsia="Calibri" w:hAnsi="Calibri" w:cs="Calibri"/>
          <w:sz w:val="22"/>
          <w:szCs w:val="22"/>
        </w:rPr>
        <w:t xml:space="preserve"> or greater:  Submit a special project request through the Vice President for Student Affairs with a copy to the Vice President for Commonwealth Campuses </w:t>
      </w:r>
      <w:r w:rsidR="00E6192A">
        <w:rPr>
          <w:rStyle w:val="normaltextrun"/>
          <w:rFonts w:ascii="Calibri" w:eastAsia="Calibri" w:hAnsi="Calibri" w:cs="Calibri"/>
          <w:sz w:val="22"/>
          <w:szCs w:val="22"/>
        </w:rPr>
        <w:t xml:space="preserve">and </w:t>
      </w:r>
      <w:r w:rsidRPr="7034EF73">
        <w:rPr>
          <w:rStyle w:val="normaltextrun"/>
          <w:rFonts w:ascii="Calibri" w:eastAsia="Calibri" w:hAnsi="Calibri" w:cs="Calibri"/>
          <w:sz w:val="22"/>
          <w:szCs w:val="22"/>
        </w:rPr>
        <w:t>to the Office of the Corporate Controller. The request should include project information, amount, confirmation of funding sources being used, and approval from the Chancellor.  If the campus is already working with the Office of Physical Plant (OPP), please coordinate the special project request(s) with OPP.   The Chancellor and Financial Officer will be notified when the special project account is established.  All expenditures associated with the project should be charged to this account. The special project account will be established under the campus administrative area, utilizing campus approval paths for the routing of documents. Given this, access to the special project accounts and reporting capabilities will be determined by the campus.</w:t>
      </w:r>
      <w:r w:rsidRPr="7034EF73">
        <w:rPr>
          <w:rStyle w:val="eop"/>
          <w:rFonts w:ascii="Calibri,Segoe UI" w:eastAsia="Calibri,Segoe UI" w:hAnsi="Calibri,Segoe UI" w:cs="Calibri,Segoe UI"/>
          <w:sz w:val="22"/>
          <w:szCs w:val="22"/>
        </w:rPr>
        <w:t> </w:t>
      </w:r>
    </w:p>
    <w:p w14:paraId="5CD3778B" w14:textId="3D5C741D" w:rsidR="00247B4A" w:rsidRDefault="7034EF73" w:rsidP="7034EF73">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7034EF73">
        <w:rPr>
          <w:rStyle w:val="normaltextrun"/>
          <w:rFonts w:ascii="Calibri" w:eastAsia="Calibri" w:hAnsi="Calibri" w:cs="Calibri"/>
          <w:sz w:val="22"/>
          <w:szCs w:val="22"/>
        </w:rPr>
        <w:t>For projects under $</w:t>
      </w:r>
      <w:r w:rsidR="00FD68E2">
        <w:rPr>
          <w:rStyle w:val="normaltextrun"/>
          <w:rFonts w:ascii="Calibri" w:eastAsia="Calibri" w:hAnsi="Calibri" w:cs="Calibri"/>
          <w:sz w:val="22"/>
          <w:szCs w:val="22"/>
        </w:rPr>
        <w:t>85</w:t>
      </w:r>
      <w:r w:rsidRPr="7034EF73">
        <w:rPr>
          <w:rStyle w:val="normaltextrun"/>
          <w:rFonts w:ascii="Calibri" w:eastAsia="Calibri" w:hAnsi="Calibri" w:cs="Calibri"/>
          <w:sz w:val="22"/>
          <w:szCs w:val="22"/>
        </w:rPr>
        <w:t>,000: Each campus Financial Officer should create cost centers in the designated facilities fee operating account to track these expenditures. Expenditure documents should be submitted by the campus and routed for approval using a campus budget and related campus approval path.  The campus Financial Officer will provide the necessary access to view transactions and monitor spending on these operating budgets.</w:t>
      </w:r>
      <w:r w:rsidRPr="7034EF73">
        <w:rPr>
          <w:rStyle w:val="eop"/>
          <w:rFonts w:ascii="Calibri,Segoe UI" w:eastAsia="Calibri,Segoe UI" w:hAnsi="Calibri,Segoe UI" w:cs="Calibri,Segoe UI"/>
          <w:sz w:val="22"/>
          <w:szCs w:val="22"/>
        </w:rPr>
        <w:t> </w:t>
      </w:r>
    </w:p>
    <w:p w14:paraId="7F20DA94" w14:textId="77777777" w:rsidR="00247B4A" w:rsidRDefault="00247B4A" w:rsidP="7034EF73">
      <w:pPr>
        <w:pStyle w:val="paragraph"/>
        <w:numPr>
          <w:ilvl w:val="0"/>
          <w:numId w:val="4"/>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7034EF73">
        <w:rPr>
          <w:rStyle w:val="normaltextrun"/>
          <w:rFonts w:ascii="Calibri" w:eastAsia="Calibri" w:hAnsi="Calibri" w:cs="Calibri"/>
          <w:color w:val="000000"/>
          <w:sz w:val="22"/>
          <w:szCs w:val="22"/>
          <w:shd w:val="clear" w:color="auto" w:fill="FDFDFD"/>
        </w:rPr>
        <w:t>Consistent with other practices associated with gifts, the facilities fee can be used with a five-year “forward” spending plan. Otherwise, funds need to be collected prior to the start of a project. </w:t>
      </w:r>
      <w:r w:rsidRPr="7034EF73">
        <w:rPr>
          <w:rStyle w:val="eop"/>
          <w:rFonts w:ascii="Calibri,Segoe UI" w:eastAsia="Calibri,Segoe UI" w:hAnsi="Calibri,Segoe UI" w:cs="Calibri,Segoe UI"/>
          <w:sz w:val="22"/>
          <w:szCs w:val="22"/>
        </w:rPr>
        <w:t> </w:t>
      </w:r>
    </w:p>
    <w:p w14:paraId="6E7BEAA2" w14:textId="4181E1EA" w:rsidR="00247B4A" w:rsidRDefault="00247B4A" w:rsidP="7034EF73">
      <w:pPr>
        <w:pStyle w:val="paragraph"/>
        <w:spacing w:before="0" w:beforeAutospacing="0" w:after="0" w:afterAutospacing="0"/>
        <w:ind w:left="360"/>
        <w:textAlignment w:val="baseline"/>
        <w:rPr>
          <w:rStyle w:val="eop"/>
          <w:rFonts w:ascii="Calibri,Segoe UI" w:eastAsia="Calibri,Segoe UI" w:hAnsi="Calibri,Segoe UI" w:cs="Calibri,Segoe UI"/>
          <w:sz w:val="22"/>
          <w:szCs w:val="22"/>
        </w:rPr>
      </w:pPr>
    </w:p>
    <w:p w14:paraId="01617FF6" w14:textId="77777777" w:rsidR="00247B4A" w:rsidRDefault="24E69931" w:rsidP="00247B4A">
      <w:pPr>
        <w:pStyle w:val="paragraph"/>
        <w:spacing w:before="0" w:beforeAutospacing="0" w:after="0" w:afterAutospacing="0"/>
        <w:textAlignment w:val="baseline"/>
        <w:rPr>
          <w:rFonts w:ascii="Segoe UI" w:hAnsi="Segoe UI" w:cs="Segoe UI"/>
          <w:sz w:val="18"/>
          <w:szCs w:val="18"/>
        </w:rPr>
      </w:pPr>
      <w:r w:rsidRPr="24E69931">
        <w:rPr>
          <w:rStyle w:val="normaltextrun"/>
          <w:rFonts w:ascii="Calibri" w:eastAsia="Calibri" w:hAnsi="Calibri" w:cs="Calibri"/>
          <w:sz w:val="22"/>
          <w:szCs w:val="22"/>
        </w:rPr>
        <w:t>The creation of special project accounts and cost centers within the facilities fee operating account are essential for reporting by central offices throughout the year. </w:t>
      </w:r>
      <w:r w:rsidRPr="24E69931">
        <w:rPr>
          <w:rStyle w:val="eop"/>
          <w:rFonts w:ascii="Calibri,Segoe UI" w:eastAsia="Calibri,Segoe UI" w:hAnsi="Calibri,Segoe UI" w:cs="Calibri,Segoe UI"/>
          <w:sz w:val="22"/>
          <w:szCs w:val="22"/>
        </w:rPr>
        <w:t> </w:t>
      </w:r>
    </w:p>
    <w:p w14:paraId="1366FFA1" w14:textId="71AF287F" w:rsidR="24E69931" w:rsidRDefault="24E69931" w:rsidP="24E69931">
      <w:pPr>
        <w:pStyle w:val="paragraph"/>
        <w:spacing w:before="0" w:beforeAutospacing="0" w:after="0" w:afterAutospacing="0"/>
        <w:rPr>
          <w:rStyle w:val="normaltextrun"/>
          <w:rFonts w:ascii="Calibri" w:eastAsia="Calibri" w:hAnsi="Calibri" w:cs="Calibri"/>
          <w:b/>
          <w:bCs/>
          <w:sz w:val="22"/>
          <w:szCs w:val="22"/>
        </w:rPr>
      </w:pPr>
    </w:p>
    <w:p w14:paraId="2CDD299D" w14:textId="4AE399C8" w:rsidR="00247B4A" w:rsidRDefault="7034EF73" w:rsidP="7034EF73">
      <w:pPr>
        <w:pStyle w:val="paragraph"/>
        <w:spacing w:before="0" w:beforeAutospacing="0" w:after="0" w:afterAutospacing="0"/>
        <w:textAlignment w:val="baseline"/>
        <w:rPr>
          <w:rStyle w:val="normaltextrun"/>
          <w:rFonts w:ascii="Calibri" w:eastAsia="Calibri" w:hAnsi="Calibri" w:cs="Calibri"/>
          <w:i/>
          <w:iCs/>
          <w:sz w:val="22"/>
          <w:szCs w:val="22"/>
        </w:rPr>
      </w:pPr>
      <w:r w:rsidRPr="7034EF73">
        <w:rPr>
          <w:rStyle w:val="normaltextrun"/>
          <w:rFonts w:ascii="Calibri" w:eastAsia="Calibri" w:hAnsi="Calibri" w:cs="Calibri"/>
          <w:i/>
          <w:iCs/>
          <w:sz w:val="22"/>
          <w:szCs w:val="22"/>
        </w:rPr>
        <w:t>Income</w:t>
      </w:r>
    </w:p>
    <w:p w14:paraId="2BCC6ADB" w14:textId="45F41512" w:rsidR="00247B4A" w:rsidRDefault="7034EF73" w:rsidP="7034EF73">
      <w:pPr>
        <w:pStyle w:val="paragraph"/>
        <w:spacing w:before="0" w:beforeAutospacing="0" w:after="0" w:afterAutospacing="0"/>
        <w:textAlignment w:val="baseline"/>
        <w:rPr>
          <w:rFonts w:ascii="Segoe UI" w:eastAsia="Segoe UI" w:hAnsi="Segoe UI" w:cs="Segoe UI"/>
          <w:sz w:val="18"/>
          <w:szCs w:val="18"/>
        </w:rPr>
      </w:pPr>
      <w:r w:rsidRPr="7034EF73">
        <w:rPr>
          <w:rStyle w:val="normaltextrun"/>
          <w:rFonts w:ascii="Calibri" w:eastAsia="Calibri" w:hAnsi="Calibri" w:cs="Calibri"/>
          <w:sz w:val="22"/>
          <w:szCs w:val="22"/>
        </w:rPr>
        <w:t>Consistent with the guidelines established for the student activities fee, all students enrolled in on-campus programs should be charged a student facilities fee according to the published schedule. Only those students enrolled exclusively in off-campus programs may be eligible for a fee waiver, which is processed manually by the campus through the facilities fee offset account.  </w:t>
      </w:r>
    </w:p>
    <w:p w14:paraId="0FCEB125" w14:textId="0ECBC874" w:rsidR="24E69931" w:rsidRDefault="24E69931" w:rsidP="24E69931">
      <w:pPr>
        <w:pStyle w:val="paragraph"/>
        <w:spacing w:before="0" w:beforeAutospacing="0" w:after="0" w:afterAutospacing="0"/>
        <w:rPr>
          <w:rStyle w:val="normaltextrun"/>
          <w:rFonts w:ascii="Calibri" w:eastAsia="Calibri" w:hAnsi="Calibri" w:cs="Calibri"/>
          <w:b/>
          <w:bCs/>
          <w:color w:val="000000" w:themeColor="text1"/>
          <w:sz w:val="22"/>
          <w:szCs w:val="22"/>
        </w:rPr>
      </w:pPr>
    </w:p>
    <w:p w14:paraId="557BAF64" w14:textId="77777777" w:rsidR="00247B4A" w:rsidRDefault="00247B4A" w:rsidP="7034EF73">
      <w:pPr>
        <w:pStyle w:val="paragraph"/>
        <w:spacing w:before="0" w:beforeAutospacing="0" w:after="0" w:afterAutospacing="0"/>
        <w:textAlignment w:val="baseline"/>
        <w:rPr>
          <w:rStyle w:val="normaltextrun"/>
          <w:rFonts w:ascii="Calibri" w:eastAsia="Calibri" w:hAnsi="Calibri" w:cs="Calibri"/>
          <w:i/>
          <w:iCs/>
          <w:color w:val="000000" w:themeColor="text1"/>
          <w:sz w:val="22"/>
          <w:szCs w:val="22"/>
        </w:rPr>
      </w:pPr>
      <w:r w:rsidRPr="7034EF73">
        <w:rPr>
          <w:rStyle w:val="normaltextrun"/>
          <w:rFonts w:ascii="Calibri" w:eastAsia="Calibri" w:hAnsi="Calibri" w:cs="Calibri"/>
          <w:i/>
          <w:iCs/>
          <w:color w:val="000000"/>
          <w:sz w:val="22"/>
          <w:szCs w:val="22"/>
          <w:shd w:val="clear" w:color="auto" w:fill="FDFDFD"/>
        </w:rPr>
        <w:t>Reporting</w:t>
      </w:r>
    </w:p>
    <w:p w14:paraId="58A49CA2" w14:textId="7E51DFDD" w:rsidR="00247B4A" w:rsidRDefault="00247B4A" w:rsidP="7034EF73">
      <w:pPr>
        <w:pStyle w:val="paragraph"/>
        <w:spacing w:before="0" w:beforeAutospacing="0" w:after="0" w:afterAutospacing="0"/>
        <w:textAlignment w:val="baseline"/>
        <w:rPr>
          <w:rStyle w:val="eop"/>
          <w:rFonts w:ascii="Calibri,Segoe UI" w:eastAsia="Calibri,Segoe UI" w:hAnsi="Calibri,Segoe UI" w:cs="Calibri,Segoe UI"/>
          <w:sz w:val="22"/>
          <w:szCs w:val="22"/>
        </w:rPr>
      </w:pPr>
      <w:r w:rsidRPr="7034EF73">
        <w:rPr>
          <w:rStyle w:val="normaltextrun"/>
          <w:rFonts w:ascii="Calibri" w:eastAsia="Calibri" w:hAnsi="Calibri" w:cs="Calibri"/>
          <w:color w:val="000000"/>
          <w:sz w:val="22"/>
          <w:szCs w:val="22"/>
          <w:shd w:val="clear" w:color="auto" w:fill="FDFDFD"/>
        </w:rPr>
        <w:t>Each year, the Financial Officer for each campus will provide a report that summarizes income (and associated waivers) and projected expenditures to the Senior Vice President for Finance &amp; Business, Vice President for Student Affairs, Vice President for Commonwealth Campuses, and the Corporate Controller.</w:t>
      </w:r>
      <w:r w:rsidRPr="7034EF73">
        <w:rPr>
          <w:rStyle w:val="eop"/>
          <w:rFonts w:ascii="Calibri,Segoe UI" w:eastAsia="Calibri,Segoe UI" w:hAnsi="Calibri,Segoe UI" w:cs="Calibri,Segoe UI"/>
          <w:sz w:val="22"/>
          <w:szCs w:val="22"/>
        </w:rPr>
        <w:t> </w:t>
      </w:r>
    </w:p>
    <w:p w14:paraId="26062DA1" w14:textId="56113535" w:rsidR="00A557C0" w:rsidRDefault="00A557C0" w:rsidP="7034EF73">
      <w:pPr>
        <w:pStyle w:val="paragraph"/>
        <w:spacing w:before="0" w:beforeAutospacing="0" w:after="0" w:afterAutospacing="0"/>
        <w:textAlignment w:val="baseline"/>
        <w:rPr>
          <w:rStyle w:val="eop"/>
          <w:rFonts w:ascii="Calibri,Segoe UI" w:eastAsia="Calibri,Segoe UI" w:hAnsi="Calibri,Segoe UI" w:cs="Calibri,Segoe UI"/>
          <w:sz w:val="22"/>
          <w:szCs w:val="22"/>
        </w:rPr>
      </w:pPr>
    </w:p>
    <w:p w14:paraId="6D33032D" w14:textId="7FC93779" w:rsidR="00D570C8" w:rsidRDefault="00D570C8">
      <w:pPr>
        <w:rPr>
          <w:rStyle w:val="eop"/>
          <w:rFonts w:ascii="Calibri,Segoe UI" w:eastAsia="Calibri,Segoe UI" w:hAnsi="Calibri,Segoe UI" w:cs="Calibri,Segoe UI"/>
        </w:rPr>
      </w:pPr>
      <w:r>
        <w:rPr>
          <w:rStyle w:val="eop"/>
          <w:rFonts w:ascii="Calibri,Segoe UI" w:eastAsia="Calibri,Segoe UI" w:hAnsi="Calibri,Segoe UI" w:cs="Calibri,Segoe UI"/>
        </w:rPr>
        <w:br w:type="page"/>
      </w:r>
    </w:p>
    <w:p w14:paraId="7DD218FC" w14:textId="77777777" w:rsidR="00D570C8" w:rsidRPr="008E0890" w:rsidRDefault="00D570C8" w:rsidP="00D570C8">
      <w:pPr>
        <w:pStyle w:val="EndnoteText"/>
        <w:rPr>
          <w:b/>
          <w:bCs/>
          <w:sz w:val="24"/>
          <w:szCs w:val="24"/>
        </w:rPr>
      </w:pPr>
      <w:r w:rsidRPr="008E0890">
        <w:rPr>
          <w:b/>
          <w:bCs/>
          <w:sz w:val="24"/>
          <w:szCs w:val="24"/>
        </w:rPr>
        <w:lastRenderedPageBreak/>
        <w:t>Appendix A</w:t>
      </w:r>
    </w:p>
    <w:p w14:paraId="0015845F" w14:textId="74F9CBA1" w:rsidR="00D570C8" w:rsidRPr="00C36EE2" w:rsidRDefault="00D570C8" w:rsidP="00D570C8">
      <w:pPr>
        <w:pStyle w:val="EndnoteText"/>
        <w:rPr>
          <w:sz w:val="22"/>
          <w:szCs w:val="22"/>
        </w:rPr>
      </w:pPr>
      <w:r w:rsidRPr="00C36EE2">
        <w:rPr>
          <w:sz w:val="22"/>
          <w:szCs w:val="22"/>
        </w:rPr>
        <w:t xml:space="preserve">Funding increases for CAPS, SLS, </w:t>
      </w:r>
      <w:r w:rsidR="00A85154">
        <w:rPr>
          <w:sz w:val="22"/>
          <w:szCs w:val="22"/>
        </w:rPr>
        <w:t xml:space="preserve">and </w:t>
      </w:r>
      <w:r w:rsidRPr="00C36EE2">
        <w:rPr>
          <w:sz w:val="22"/>
          <w:szCs w:val="22"/>
        </w:rPr>
        <w:t>CCSG</w:t>
      </w:r>
      <w:r>
        <w:rPr>
          <w:sz w:val="22"/>
          <w:szCs w:val="22"/>
        </w:rPr>
        <w:t xml:space="preserve"> per student per semester</w:t>
      </w:r>
      <w:r w:rsidRPr="5FC7CDDE">
        <w:rPr>
          <w:sz w:val="22"/>
          <w:szCs w:val="22"/>
        </w:rPr>
        <w:t xml:space="preserve">. </w:t>
      </w:r>
    </w:p>
    <w:tbl>
      <w:tblPr>
        <w:tblStyle w:val="GridTable2-Accent1"/>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8A7E00" w:rsidRPr="00B35ABD" w14:paraId="68DE5E25" w14:textId="44BBAEA2" w:rsidTr="36357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5483D7B3" w14:textId="77777777" w:rsidR="008A7E00" w:rsidRPr="00B35ABD" w:rsidRDefault="008A7E00" w:rsidP="002B05A1">
            <w:pPr>
              <w:pStyle w:val="EndnoteText"/>
              <w:rPr>
                <w:sz w:val="22"/>
                <w:szCs w:val="22"/>
              </w:rPr>
            </w:pPr>
          </w:p>
        </w:tc>
        <w:tc>
          <w:tcPr>
            <w:tcW w:w="1120" w:type="dxa"/>
          </w:tcPr>
          <w:p w14:paraId="60F6C7CB" w14:textId="77777777" w:rsidR="008A7E00" w:rsidRPr="00B35ABD"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sidRPr="00B35ABD">
              <w:rPr>
                <w:sz w:val="22"/>
                <w:szCs w:val="22"/>
              </w:rPr>
              <w:t>CAPS</w:t>
            </w:r>
            <w:r>
              <w:rPr>
                <w:sz w:val="22"/>
                <w:szCs w:val="22"/>
              </w:rPr>
              <w:t xml:space="preserve"> increase</w:t>
            </w:r>
          </w:p>
        </w:tc>
        <w:tc>
          <w:tcPr>
            <w:tcW w:w="1120" w:type="dxa"/>
          </w:tcPr>
          <w:p w14:paraId="765B8F15" w14:textId="77777777" w:rsidR="008A7E00" w:rsidRPr="00B35ABD"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CAPS total</w:t>
            </w:r>
          </w:p>
        </w:tc>
        <w:tc>
          <w:tcPr>
            <w:tcW w:w="1120" w:type="dxa"/>
          </w:tcPr>
          <w:p w14:paraId="318D1EC0" w14:textId="77777777" w:rsidR="008A7E00" w:rsidRPr="00B35ABD"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sidRPr="00B35ABD">
              <w:rPr>
                <w:sz w:val="22"/>
                <w:szCs w:val="22"/>
              </w:rPr>
              <w:t>SLS</w:t>
            </w:r>
            <w:r>
              <w:rPr>
                <w:sz w:val="22"/>
                <w:szCs w:val="22"/>
              </w:rPr>
              <w:t xml:space="preserve"> increase</w:t>
            </w:r>
          </w:p>
        </w:tc>
        <w:tc>
          <w:tcPr>
            <w:tcW w:w="1120" w:type="dxa"/>
          </w:tcPr>
          <w:p w14:paraId="0DE18AFD" w14:textId="77777777" w:rsidR="008A7E00" w:rsidRPr="00B35ABD"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SLS total</w:t>
            </w:r>
          </w:p>
        </w:tc>
        <w:tc>
          <w:tcPr>
            <w:tcW w:w="1120" w:type="dxa"/>
          </w:tcPr>
          <w:p w14:paraId="209DBA38" w14:textId="77777777" w:rsidR="008A7E00" w:rsidRPr="00B35ABD"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sidRPr="00B35ABD">
              <w:rPr>
                <w:sz w:val="22"/>
                <w:szCs w:val="22"/>
              </w:rPr>
              <w:t>CCSG</w:t>
            </w:r>
            <w:r>
              <w:rPr>
                <w:sz w:val="22"/>
                <w:szCs w:val="22"/>
              </w:rPr>
              <w:t xml:space="preserve"> increase</w:t>
            </w:r>
          </w:p>
        </w:tc>
        <w:tc>
          <w:tcPr>
            <w:tcW w:w="1120" w:type="dxa"/>
          </w:tcPr>
          <w:p w14:paraId="5DFDB38F" w14:textId="77777777" w:rsidR="008A7E00" w:rsidRPr="00B35ABD"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CCSG total</w:t>
            </w:r>
          </w:p>
        </w:tc>
        <w:tc>
          <w:tcPr>
            <w:tcW w:w="1120" w:type="dxa"/>
          </w:tcPr>
          <w:p w14:paraId="785A94F9" w14:textId="525D295F" w:rsidR="008A7E00"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CFB increase</w:t>
            </w:r>
          </w:p>
        </w:tc>
        <w:tc>
          <w:tcPr>
            <w:tcW w:w="1120" w:type="dxa"/>
          </w:tcPr>
          <w:p w14:paraId="6F275D95" w14:textId="74A1DBC1" w:rsidR="008A7E00" w:rsidRDefault="008A7E00" w:rsidP="002B05A1">
            <w:pPr>
              <w:pStyle w:val="EndnoteTex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CFB total</w:t>
            </w:r>
          </w:p>
        </w:tc>
      </w:tr>
      <w:tr w:rsidR="00D53AB1" w:rsidRPr="00B35ABD" w14:paraId="50F2C605" w14:textId="2D01C774" w:rsidTr="36357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Align w:val="center"/>
          </w:tcPr>
          <w:p w14:paraId="35CEB28B" w14:textId="00787C12" w:rsidR="00D53AB1" w:rsidRPr="00B35ABD" w:rsidRDefault="00D53AB1" w:rsidP="00D53AB1">
            <w:pPr>
              <w:pStyle w:val="EndnoteText"/>
              <w:jc w:val="center"/>
              <w:rPr>
                <w:sz w:val="22"/>
                <w:szCs w:val="22"/>
              </w:rPr>
            </w:pPr>
            <w:r w:rsidRPr="00B35ABD">
              <w:rPr>
                <w:sz w:val="22"/>
                <w:szCs w:val="22"/>
              </w:rPr>
              <w:t>2017-18</w:t>
            </w:r>
          </w:p>
        </w:tc>
        <w:tc>
          <w:tcPr>
            <w:tcW w:w="1120" w:type="dxa"/>
            <w:vAlign w:val="center"/>
          </w:tcPr>
          <w:p w14:paraId="55A4570F" w14:textId="77777777" w:rsidR="00D53AB1" w:rsidRPr="00B35ABD"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w:t>
            </w:r>
          </w:p>
        </w:tc>
        <w:tc>
          <w:tcPr>
            <w:tcW w:w="1120" w:type="dxa"/>
            <w:vAlign w:val="center"/>
          </w:tcPr>
          <w:p w14:paraId="1CACCF1D" w14:textId="77777777" w:rsidR="00D53AB1" w:rsidRPr="00B35ABD"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w:t>
            </w:r>
          </w:p>
        </w:tc>
        <w:tc>
          <w:tcPr>
            <w:tcW w:w="1120" w:type="dxa"/>
            <w:vAlign w:val="center"/>
          </w:tcPr>
          <w:p w14:paraId="2C925E42" w14:textId="4924E599"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 funded</w:t>
            </w:r>
          </w:p>
        </w:tc>
        <w:tc>
          <w:tcPr>
            <w:tcW w:w="1120" w:type="dxa"/>
            <w:vAlign w:val="center"/>
          </w:tcPr>
          <w:p w14:paraId="0636D1D6" w14:textId="63EB7D8B" w:rsidR="00D53AB1" w:rsidRDefault="00BF0C9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120" w:type="dxa"/>
            <w:vAlign w:val="center"/>
          </w:tcPr>
          <w:p w14:paraId="001CB9A4"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$0.54</w:t>
            </w:r>
          </w:p>
        </w:tc>
        <w:tc>
          <w:tcPr>
            <w:tcW w:w="1120" w:type="dxa"/>
            <w:vAlign w:val="center"/>
          </w:tcPr>
          <w:p w14:paraId="690A7336"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sidRPr="00054218">
              <w:rPr>
                <w:sz w:val="22"/>
                <w:szCs w:val="22"/>
              </w:rPr>
              <w:t>$0.54</w:t>
            </w:r>
          </w:p>
        </w:tc>
        <w:tc>
          <w:tcPr>
            <w:tcW w:w="1120" w:type="dxa"/>
            <w:vAlign w:val="center"/>
          </w:tcPr>
          <w:p w14:paraId="2F5CAE1C" w14:textId="1ED585BE" w:rsidR="00D53AB1" w:rsidRPr="00054218"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 funded</w:t>
            </w:r>
          </w:p>
        </w:tc>
        <w:tc>
          <w:tcPr>
            <w:tcW w:w="1120" w:type="dxa"/>
            <w:vAlign w:val="center"/>
          </w:tcPr>
          <w:p w14:paraId="384D8615" w14:textId="53DC7E3A" w:rsidR="00D53AB1" w:rsidRPr="00054218" w:rsidRDefault="00BF0C9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D53AB1" w:rsidRPr="00B35ABD" w14:paraId="7A118004" w14:textId="5E723411" w:rsidTr="36357C8F">
        <w:tc>
          <w:tcPr>
            <w:cnfStyle w:val="001000000000" w:firstRow="0" w:lastRow="0" w:firstColumn="1" w:lastColumn="0" w:oddVBand="0" w:evenVBand="0" w:oddHBand="0" w:evenHBand="0" w:firstRowFirstColumn="0" w:firstRowLastColumn="0" w:lastRowFirstColumn="0" w:lastRowLastColumn="0"/>
            <w:tcW w:w="1120" w:type="dxa"/>
            <w:vAlign w:val="center"/>
          </w:tcPr>
          <w:p w14:paraId="0CA38928" w14:textId="293C62E2" w:rsidR="00D53AB1" w:rsidRPr="00B35ABD" w:rsidRDefault="00D53AB1" w:rsidP="00D53AB1">
            <w:pPr>
              <w:pStyle w:val="EndnoteText"/>
              <w:jc w:val="center"/>
              <w:rPr>
                <w:sz w:val="22"/>
                <w:szCs w:val="22"/>
              </w:rPr>
            </w:pPr>
            <w:r w:rsidRPr="00B35ABD">
              <w:rPr>
                <w:sz w:val="22"/>
                <w:szCs w:val="22"/>
              </w:rPr>
              <w:t>2018-19</w:t>
            </w:r>
          </w:p>
        </w:tc>
        <w:tc>
          <w:tcPr>
            <w:tcW w:w="1120" w:type="dxa"/>
            <w:vAlign w:val="center"/>
          </w:tcPr>
          <w:p w14:paraId="78D1871D" w14:textId="77777777" w:rsidR="00D53AB1" w:rsidRPr="00B35ABD"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 increase</w:t>
            </w:r>
          </w:p>
        </w:tc>
        <w:tc>
          <w:tcPr>
            <w:tcW w:w="1120" w:type="dxa"/>
            <w:vAlign w:val="center"/>
          </w:tcPr>
          <w:p w14:paraId="19395D99" w14:textId="77777777" w:rsidR="00D53AB1" w:rsidRPr="00B35ABD"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w:t>
            </w:r>
          </w:p>
        </w:tc>
        <w:tc>
          <w:tcPr>
            <w:tcW w:w="1120" w:type="dxa"/>
            <w:vAlign w:val="center"/>
          </w:tcPr>
          <w:p w14:paraId="48C86603" w14:textId="278903BD"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 funded</w:t>
            </w:r>
          </w:p>
        </w:tc>
        <w:tc>
          <w:tcPr>
            <w:tcW w:w="1120" w:type="dxa"/>
            <w:vAlign w:val="center"/>
          </w:tcPr>
          <w:p w14:paraId="4AFE5A1B" w14:textId="0C5D219E" w:rsidR="00D53AB1" w:rsidRDefault="00BF0C9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120" w:type="dxa"/>
            <w:vAlign w:val="center"/>
          </w:tcPr>
          <w:p w14:paraId="1AD38F8F"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 increase</w:t>
            </w:r>
          </w:p>
        </w:tc>
        <w:tc>
          <w:tcPr>
            <w:tcW w:w="1120" w:type="dxa"/>
            <w:vAlign w:val="center"/>
          </w:tcPr>
          <w:p w14:paraId="41371AF2"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sidRPr="00054218">
              <w:rPr>
                <w:sz w:val="22"/>
                <w:szCs w:val="22"/>
              </w:rPr>
              <w:t>$0.54</w:t>
            </w:r>
          </w:p>
        </w:tc>
        <w:tc>
          <w:tcPr>
            <w:tcW w:w="1120" w:type="dxa"/>
            <w:vAlign w:val="center"/>
          </w:tcPr>
          <w:p w14:paraId="2A5E2A8B" w14:textId="00789901" w:rsidR="00D53AB1" w:rsidRPr="00054218"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 funded</w:t>
            </w:r>
          </w:p>
        </w:tc>
        <w:tc>
          <w:tcPr>
            <w:tcW w:w="1120" w:type="dxa"/>
            <w:vAlign w:val="center"/>
          </w:tcPr>
          <w:p w14:paraId="5E446630" w14:textId="4950190C" w:rsidR="00D53AB1" w:rsidRPr="00054218" w:rsidRDefault="00BF0C9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D53AB1" w:rsidRPr="00B35ABD" w14:paraId="61458342" w14:textId="10B799EC" w:rsidTr="36357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Align w:val="center"/>
          </w:tcPr>
          <w:p w14:paraId="0C690BF2" w14:textId="0CAA2F41" w:rsidR="00D53AB1" w:rsidRPr="00B35ABD" w:rsidRDefault="00D53AB1" w:rsidP="00D53AB1">
            <w:pPr>
              <w:pStyle w:val="EndnoteText"/>
              <w:jc w:val="center"/>
              <w:rPr>
                <w:sz w:val="22"/>
                <w:szCs w:val="22"/>
              </w:rPr>
            </w:pPr>
            <w:r w:rsidRPr="00B35ABD">
              <w:rPr>
                <w:sz w:val="22"/>
                <w:szCs w:val="22"/>
              </w:rPr>
              <w:t>2019-20</w:t>
            </w:r>
          </w:p>
        </w:tc>
        <w:tc>
          <w:tcPr>
            <w:tcW w:w="1120" w:type="dxa"/>
            <w:vAlign w:val="center"/>
          </w:tcPr>
          <w:p w14:paraId="34FC0B5F" w14:textId="77777777" w:rsidR="00D53AB1" w:rsidRPr="00B35ABD"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$0.65</w:t>
            </w:r>
          </w:p>
        </w:tc>
        <w:tc>
          <w:tcPr>
            <w:tcW w:w="1120" w:type="dxa"/>
            <w:vAlign w:val="center"/>
          </w:tcPr>
          <w:p w14:paraId="444D07CA" w14:textId="77777777" w:rsidR="00D53AB1" w:rsidRPr="00B35ABD"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$4.65</w:t>
            </w:r>
          </w:p>
        </w:tc>
        <w:tc>
          <w:tcPr>
            <w:tcW w:w="1120" w:type="dxa"/>
            <w:vAlign w:val="center"/>
          </w:tcPr>
          <w:p w14:paraId="5A30A6C6" w14:textId="4E612561"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 funded</w:t>
            </w:r>
          </w:p>
        </w:tc>
        <w:tc>
          <w:tcPr>
            <w:tcW w:w="1120" w:type="dxa"/>
            <w:vAlign w:val="center"/>
          </w:tcPr>
          <w:p w14:paraId="177AE455" w14:textId="762F08DE" w:rsidR="00D53AB1" w:rsidRDefault="00BF0C9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120" w:type="dxa"/>
            <w:vAlign w:val="center"/>
          </w:tcPr>
          <w:p w14:paraId="609641A8"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 increase</w:t>
            </w:r>
          </w:p>
        </w:tc>
        <w:tc>
          <w:tcPr>
            <w:tcW w:w="1120" w:type="dxa"/>
            <w:vAlign w:val="center"/>
          </w:tcPr>
          <w:p w14:paraId="7F61AD62"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sidRPr="00054218">
              <w:rPr>
                <w:sz w:val="22"/>
                <w:szCs w:val="22"/>
              </w:rPr>
              <w:t>$0.54</w:t>
            </w:r>
          </w:p>
        </w:tc>
        <w:tc>
          <w:tcPr>
            <w:tcW w:w="1120" w:type="dxa"/>
            <w:vAlign w:val="center"/>
          </w:tcPr>
          <w:p w14:paraId="3E62CEFA" w14:textId="2D9259B6" w:rsidR="00D53AB1" w:rsidRPr="00054218"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 funded</w:t>
            </w:r>
          </w:p>
        </w:tc>
        <w:tc>
          <w:tcPr>
            <w:tcW w:w="1120" w:type="dxa"/>
            <w:vAlign w:val="center"/>
          </w:tcPr>
          <w:p w14:paraId="6E98B634" w14:textId="7549865C" w:rsidR="00D53AB1" w:rsidRPr="00054218" w:rsidRDefault="00BF0C9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D53AB1" w:rsidRPr="00B35ABD" w14:paraId="7CE5E828" w14:textId="47AAFDF5" w:rsidTr="36357C8F">
        <w:tc>
          <w:tcPr>
            <w:cnfStyle w:val="001000000000" w:firstRow="0" w:lastRow="0" w:firstColumn="1" w:lastColumn="0" w:oddVBand="0" w:evenVBand="0" w:oddHBand="0" w:evenHBand="0" w:firstRowFirstColumn="0" w:firstRowLastColumn="0" w:lastRowFirstColumn="0" w:lastRowLastColumn="0"/>
            <w:tcW w:w="1120" w:type="dxa"/>
            <w:vAlign w:val="center"/>
          </w:tcPr>
          <w:p w14:paraId="42C96227" w14:textId="77E38399" w:rsidR="00D53AB1" w:rsidRPr="00B35ABD" w:rsidRDefault="00D53AB1" w:rsidP="00D53AB1">
            <w:pPr>
              <w:pStyle w:val="EndnoteText"/>
              <w:jc w:val="center"/>
              <w:rPr>
                <w:sz w:val="22"/>
                <w:szCs w:val="22"/>
              </w:rPr>
            </w:pPr>
            <w:r w:rsidRPr="00B35ABD">
              <w:rPr>
                <w:sz w:val="22"/>
                <w:szCs w:val="22"/>
              </w:rPr>
              <w:t>2020-21</w:t>
            </w:r>
          </w:p>
        </w:tc>
        <w:tc>
          <w:tcPr>
            <w:tcW w:w="1120" w:type="dxa"/>
            <w:vAlign w:val="center"/>
          </w:tcPr>
          <w:p w14:paraId="42C75094" w14:textId="77777777" w:rsidR="00D53AB1" w:rsidRPr="00B35ABD"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$2.26</w:t>
            </w:r>
          </w:p>
        </w:tc>
        <w:tc>
          <w:tcPr>
            <w:tcW w:w="1120" w:type="dxa"/>
            <w:vAlign w:val="center"/>
          </w:tcPr>
          <w:p w14:paraId="736B1282" w14:textId="77777777" w:rsidR="00D53AB1" w:rsidRPr="00B35ABD"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$6.91</w:t>
            </w:r>
          </w:p>
        </w:tc>
        <w:tc>
          <w:tcPr>
            <w:tcW w:w="1120" w:type="dxa"/>
            <w:vAlign w:val="center"/>
          </w:tcPr>
          <w:p w14:paraId="6DB1EFC6" w14:textId="7FE3CB28"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 funded</w:t>
            </w:r>
          </w:p>
        </w:tc>
        <w:tc>
          <w:tcPr>
            <w:tcW w:w="1120" w:type="dxa"/>
            <w:vAlign w:val="center"/>
          </w:tcPr>
          <w:p w14:paraId="5E486428" w14:textId="539C07F1" w:rsidR="00D53AB1" w:rsidRDefault="00BF0C9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120" w:type="dxa"/>
            <w:vAlign w:val="center"/>
          </w:tcPr>
          <w:p w14:paraId="1A373BA9"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 increase</w:t>
            </w:r>
          </w:p>
        </w:tc>
        <w:tc>
          <w:tcPr>
            <w:tcW w:w="1120" w:type="dxa"/>
            <w:vAlign w:val="center"/>
          </w:tcPr>
          <w:p w14:paraId="53F86FCD"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sidRPr="00054218">
              <w:rPr>
                <w:sz w:val="22"/>
                <w:szCs w:val="22"/>
              </w:rPr>
              <w:t>$0.54</w:t>
            </w:r>
          </w:p>
        </w:tc>
        <w:tc>
          <w:tcPr>
            <w:tcW w:w="1120" w:type="dxa"/>
            <w:vAlign w:val="center"/>
          </w:tcPr>
          <w:p w14:paraId="081BC5AE" w14:textId="6288643F" w:rsidR="00D53AB1" w:rsidRPr="00054218"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 funded</w:t>
            </w:r>
          </w:p>
        </w:tc>
        <w:tc>
          <w:tcPr>
            <w:tcW w:w="1120" w:type="dxa"/>
            <w:vAlign w:val="center"/>
          </w:tcPr>
          <w:p w14:paraId="05DD6CE2" w14:textId="461BE9C5" w:rsidR="00D53AB1" w:rsidRPr="00054218" w:rsidRDefault="00BF0C9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D53AB1" w:rsidRPr="00B35ABD" w14:paraId="7AB5980D" w14:textId="4D2729BD" w:rsidTr="36357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Align w:val="center"/>
          </w:tcPr>
          <w:p w14:paraId="1B083AD3" w14:textId="6E3C88DE" w:rsidR="00D53AB1" w:rsidRPr="00B35ABD" w:rsidRDefault="00D53AB1" w:rsidP="00D53AB1">
            <w:pPr>
              <w:pStyle w:val="EndnoteText"/>
              <w:jc w:val="center"/>
              <w:rPr>
                <w:sz w:val="22"/>
                <w:szCs w:val="22"/>
              </w:rPr>
            </w:pPr>
            <w:r w:rsidRPr="00B35ABD">
              <w:rPr>
                <w:sz w:val="22"/>
                <w:szCs w:val="22"/>
              </w:rPr>
              <w:t>2021-22</w:t>
            </w:r>
          </w:p>
        </w:tc>
        <w:tc>
          <w:tcPr>
            <w:tcW w:w="1120" w:type="dxa"/>
            <w:vAlign w:val="center"/>
          </w:tcPr>
          <w:p w14:paraId="25C56089" w14:textId="77777777" w:rsidR="00D53AB1" w:rsidRPr="00B35ABD"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$0.38</w:t>
            </w:r>
          </w:p>
        </w:tc>
        <w:tc>
          <w:tcPr>
            <w:tcW w:w="1120" w:type="dxa"/>
            <w:vAlign w:val="center"/>
          </w:tcPr>
          <w:p w14:paraId="20151DDF" w14:textId="77777777" w:rsidR="00D53AB1" w:rsidRPr="00B35ABD"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$7.29</w:t>
            </w:r>
          </w:p>
        </w:tc>
        <w:tc>
          <w:tcPr>
            <w:tcW w:w="1120" w:type="dxa"/>
            <w:vAlign w:val="center"/>
          </w:tcPr>
          <w:p w14:paraId="6527AD08"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$2.56</w:t>
            </w:r>
          </w:p>
        </w:tc>
        <w:tc>
          <w:tcPr>
            <w:tcW w:w="1120" w:type="dxa"/>
            <w:vAlign w:val="center"/>
          </w:tcPr>
          <w:p w14:paraId="3E25EE83"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$2.56</w:t>
            </w:r>
          </w:p>
        </w:tc>
        <w:tc>
          <w:tcPr>
            <w:tcW w:w="1120" w:type="dxa"/>
            <w:vAlign w:val="center"/>
          </w:tcPr>
          <w:p w14:paraId="503BF2ED"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 increase</w:t>
            </w:r>
          </w:p>
        </w:tc>
        <w:tc>
          <w:tcPr>
            <w:tcW w:w="1120" w:type="dxa"/>
            <w:vAlign w:val="center"/>
          </w:tcPr>
          <w:p w14:paraId="26E3580C" w14:textId="77777777" w:rsidR="00D53AB1"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sidRPr="00054218">
              <w:rPr>
                <w:sz w:val="22"/>
                <w:szCs w:val="22"/>
              </w:rPr>
              <w:t>$0.54</w:t>
            </w:r>
          </w:p>
        </w:tc>
        <w:tc>
          <w:tcPr>
            <w:tcW w:w="1120" w:type="dxa"/>
            <w:vAlign w:val="center"/>
          </w:tcPr>
          <w:p w14:paraId="11FA7A1D" w14:textId="257AB505" w:rsidR="00D53AB1" w:rsidRPr="00054218" w:rsidRDefault="00D53AB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Not funded</w:t>
            </w:r>
          </w:p>
        </w:tc>
        <w:tc>
          <w:tcPr>
            <w:tcW w:w="1120" w:type="dxa"/>
            <w:vAlign w:val="center"/>
          </w:tcPr>
          <w:p w14:paraId="72792534" w14:textId="442D5D10" w:rsidR="00D53AB1" w:rsidRPr="00054218" w:rsidRDefault="00BF0C91"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D53AB1" w:rsidRPr="00B35ABD" w14:paraId="43F95DD1" w14:textId="781FD84C" w:rsidTr="36357C8F">
        <w:tc>
          <w:tcPr>
            <w:cnfStyle w:val="001000000000" w:firstRow="0" w:lastRow="0" w:firstColumn="1" w:lastColumn="0" w:oddVBand="0" w:evenVBand="0" w:oddHBand="0" w:evenHBand="0" w:firstRowFirstColumn="0" w:firstRowLastColumn="0" w:lastRowFirstColumn="0" w:lastRowLastColumn="0"/>
            <w:tcW w:w="1120" w:type="dxa"/>
            <w:vAlign w:val="center"/>
          </w:tcPr>
          <w:p w14:paraId="239726CE" w14:textId="235B8DAF" w:rsidR="00D53AB1" w:rsidRPr="00B35ABD" w:rsidRDefault="00D53AB1" w:rsidP="00D53AB1">
            <w:pPr>
              <w:pStyle w:val="EndnoteText"/>
              <w:jc w:val="center"/>
              <w:rPr>
                <w:sz w:val="22"/>
                <w:szCs w:val="22"/>
              </w:rPr>
            </w:pPr>
            <w:r w:rsidRPr="00B35ABD">
              <w:rPr>
                <w:sz w:val="22"/>
                <w:szCs w:val="22"/>
              </w:rPr>
              <w:t>2022-23</w:t>
            </w:r>
          </w:p>
        </w:tc>
        <w:tc>
          <w:tcPr>
            <w:tcW w:w="1120" w:type="dxa"/>
            <w:vAlign w:val="center"/>
          </w:tcPr>
          <w:p w14:paraId="78B87EE1" w14:textId="77777777" w:rsidR="00D53AB1" w:rsidRPr="00B35ABD"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$1.29</w:t>
            </w:r>
          </w:p>
        </w:tc>
        <w:tc>
          <w:tcPr>
            <w:tcW w:w="1120" w:type="dxa"/>
            <w:vAlign w:val="center"/>
          </w:tcPr>
          <w:p w14:paraId="58E879F8" w14:textId="77777777" w:rsidR="00D53AB1" w:rsidRPr="00B35ABD"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$8.58</w:t>
            </w:r>
          </w:p>
        </w:tc>
        <w:tc>
          <w:tcPr>
            <w:tcW w:w="1120" w:type="dxa"/>
            <w:vAlign w:val="center"/>
          </w:tcPr>
          <w:p w14:paraId="699BFF39"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$0.44</w:t>
            </w:r>
          </w:p>
        </w:tc>
        <w:tc>
          <w:tcPr>
            <w:tcW w:w="1120" w:type="dxa"/>
            <w:vAlign w:val="center"/>
          </w:tcPr>
          <w:p w14:paraId="209B2FA3"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$3.00</w:t>
            </w:r>
          </w:p>
        </w:tc>
        <w:tc>
          <w:tcPr>
            <w:tcW w:w="1120" w:type="dxa"/>
            <w:vAlign w:val="center"/>
          </w:tcPr>
          <w:p w14:paraId="7C7F3257"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$0.11</w:t>
            </w:r>
          </w:p>
        </w:tc>
        <w:tc>
          <w:tcPr>
            <w:tcW w:w="1120" w:type="dxa"/>
            <w:vAlign w:val="center"/>
          </w:tcPr>
          <w:p w14:paraId="36BB214D" w14:textId="77777777"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$0.65</w:t>
            </w:r>
          </w:p>
        </w:tc>
        <w:tc>
          <w:tcPr>
            <w:tcW w:w="1120" w:type="dxa"/>
            <w:vAlign w:val="center"/>
          </w:tcPr>
          <w:p w14:paraId="7EE3F9EA" w14:textId="70F6F9EE"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 funded</w:t>
            </w:r>
          </w:p>
        </w:tc>
        <w:tc>
          <w:tcPr>
            <w:tcW w:w="1120" w:type="dxa"/>
            <w:vAlign w:val="center"/>
          </w:tcPr>
          <w:p w14:paraId="78B9C422" w14:textId="7664AA9B" w:rsidR="00D53AB1" w:rsidRDefault="00D53AB1" w:rsidP="00D53AB1">
            <w:pPr>
              <w:pStyle w:val="EndnoteTex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$0.03</w:t>
            </w:r>
          </w:p>
        </w:tc>
      </w:tr>
      <w:tr w:rsidR="00D764A4" w:rsidRPr="00B35ABD" w14:paraId="20B560AB" w14:textId="77777777" w:rsidTr="36357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Align w:val="center"/>
          </w:tcPr>
          <w:p w14:paraId="2A6427A4" w14:textId="4A3D72C1" w:rsidR="00D764A4" w:rsidRPr="00B35ABD" w:rsidRDefault="00D764A4" w:rsidP="00D53AB1">
            <w:pPr>
              <w:pStyle w:val="EndnoteText"/>
              <w:jc w:val="center"/>
              <w:rPr>
                <w:sz w:val="22"/>
                <w:szCs w:val="22"/>
              </w:rPr>
            </w:pPr>
            <w:r>
              <w:rPr>
                <w:sz w:val="22"/>
                <w:szCs w:val="22"/>
              </w:rPr>
              <w:t>2023-24</w:t>
            </w:r>
          </w:p>
        </w:tc>
        <w:tc>
          <w:tcPr>
            <w:tcW w:w="1120" w:type="dxa"/>
            <w:vAlign w:val="center"/>
          </w:tcPr>
          <w:p w14:paraId="5F51914C" w14:textId="2B4F938F" w:rsidR="00D764A4" w:rsidRDefault="001A52B3"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r w:rsidR="006A7458">
              <w:rPr>
                <w:sz w:val="22"/>
                <w:szCs w:val="22"/>
              </w:rPr>
              <w:t>.09</w:t>
            </w:r>
          </w:p>
        </w:tc>
        <w:tc>
          <w:tcPr>
            <w:tcW w:w="1120" w:type="dxa"/>
            <w:vAlign w:val="center"/>
          </w:tcPr>
          <w:p w14:paraId="573FFED4" w14:textId="636DA0BC" w:rsidR="00D764A4" w:rsidRDefault="00A73856"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w:t>
            </w:r>
            <w:r w:rsidR="00DC163A">
              <w:rPr>
                <w:sz w:val="22"/>
                <w:szCs w:val="22"/>
              </w:rPr>
              <w:t>67</w:t>
            </w:r>
          </w:p>
        </w:tc>
        <w:tc>
          <w:tcPr>
            <w:tcW w:w="1120" w:type="dxa"/>
            <w:vAlign w:val="center"/>
          </w:tcPr>
          <w:p w14:paraId="4D1FEC46" w14:textId="62A5D7FE" w:rsidR="00D764A4" w:rsidRDefault="00B65ADF"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F20232">
              <w:rPr>
                <w:sz w:val="22"/>
                <w:szCs w:val="22"/>
              </w:rPr>
              <w:t>0.</w:t>
            </w:r>
            <w:r w:rsidR="008B3647">
              <w:rPr>
                <w:sz w:val="22"/>
                <w:szCs w:val="22"/>
              </w:rPr>
              <w:t>17</w:t>
            </w:r>
          </w:p>
        </w:tc>
        <w:tc>
          <w:tcPr>
            <w:tcW w:w="1120" w:type="dxa"/>
            <w:vAlign w:val="center"/>
          </w:tcPr>
          <w:p w14:paraId="5CB80A6D" w14:textId="5D1A41CB" w:rsidR="00D764A4" w:rsidRDefault="00EC6207"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$2.83</w:t>
            </w:r>
          </w:p>
        </w:tc>
        <w:tc>
          <w:tcPr>
            <w:tcW w:w="1120" w:type="dxa"/>
            <w:vAlign w:val="center"/>
          </w:tcPr>
          <w:p w14:paraId="1B74DF00" w14:textId="1DD30C98" w:rsidR="00D764A4" w:rsidRDefault="001F3D8E"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r w:rsidR="00E32EAF">
              <w:rPr>
                <w:sz w:val="22"/>
                <w:szCs w:val="22"/>
              </w:rPr>
              <w:t>0</w:t>
            </w:r>
            <w:r w:rsidR="00D45B27">
              <w:rPr>
                <w:sz w:val="22"/>
                <w:szCs w:val="22"/>
              </w:rPr>
              <w:t>2</w:t>
            </w:r>
          </w:p>
        </w:tc>
        <w:tc>
          <w:tcPr>
            <w:tcW w:w="1120" w:type="dxa"/>
            <w:vAlign w:val="center"/>
          </w:tcPr>
          <w:p w14:paraId="6D9BCFF3" w14:textId="18E4F3D5" w:rsidR="00D764A4" w:rsidRDefault="00D45B27"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A6511B">
              <w:rPr>
                <w:sz w:val="22"/>
                <w:szCs w:val="22"/>
              </w:rPr>
              <w:t>0.63</w:t>
            </w:r>
          </w:p>
        </w:tc>
        <w:tc>
          <w:tcPr>
            <w:tcW w:w="1120" w:type="dxa"/>
            <w:vAlign w:val="center"/>
          </w:tcPr>
          <w:p w14:paraId="0D858C06" w14:textId="498449FE" w:rsidR="00D764A4" w:rsidRDefault="007F0CD7"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sidRPr="36357C8F">
              <w:rPr>
                <w:sz w:val="22"/>
                <w:szCs w:val="22"/>
              </w:rPr>
              <w:t>-</w:t>
            </w:r>
            <w:r w:rsidR="3863F1A2" w:rsidRPr="36357C8F">
              <w:rPr>
                <w:sz w:val="22"/>
                <w:szCs w:val="22"/>
              </w:rPr>
              <w:t>$0.00</w:t>
            </w:r>
          </w:p>
        </w:tc>
        <w:tc>
          <w:tcPr>
            <w:tcW w:w="1120" w:type="dxa"/>
            <w:vAlign w:val="center"/>
          </w:tcPr>
          <w:p w14:paraId="575987A3" w14:textId="6492CC1A" w:rsidR="00D764A4" w:rsidRDefault="00CD61ED" w:rsidP="00D53AB1">
            <w:pPr>
              <w:pStyle w:val="EndnoteText"/>
              <w:jc w:val="center"/>
              <w:cnfStyle w:val="000000100000" w:firstRow="0" w:lastRow="0" w:firstColumn="0" w:lastColumn="0" w:oddVBand="0" w:evenVBand="0" w:oddHBand="1" w:evenHBand="0" w:firstRowFirstColumn="0" w:firstRowLastColumn="0" w:lastRowFirstColumn="0" w:lastRowLastColumn="0"/>
              <w:rPr>
                <w:sz w:val="22"/>
                <w:szCs w:val="22"/>
              </w:rPr>
            </w:pPr>
            <w:r w:rsidRPr="36357C8F">
              <w:rPr>
                <w:sz w:val="22"/>
                <w:szCs w:val="22"/>
              </w:rPr>
              <w:t>$0.0</w:t>
            </w:r>
            <w:r w:rsidR="39AB3349" w:rsidRPr="36357C8F">
              <w:rPr>
                <w:sz w:val="22"/>
                <w:szCs w:val="22"/>
              </w:rPr>
              <w:t>0</w:t>
            </w:r>
          </w:p>
        </w:tc>
      </w:tr>
    </w:tbl>
    <w:p w14:paraId="65620E79" w14:textId="77777777" w:rsidR="00A557C0" w:rsidRDefault="00A557C0" w:rsidP="5FC7CDDE">
      <w:pPr>
        <w:pStyle w:val="paragraph"/>
        <w:spacing w:before="0" w:beforeAutospacing="0" w:after="0" w:afterAutospacing="0"/>
        <w:textAlignment w:val="baseline"/>
        <w:rPr>
          <w:rFonts w:ascii="Segoe UI" w:eastAsia="Segoe UI" w:hAnsi="Segoe UI" w:cs="Segoe UI"/>
          <w:sz w:val="18"/>
          <w:szCs w:val="18"/>
        </w:rPr>
      </w:pPr>
    </w:p>
    <w:p w14:paraId="04EAC49D" w14:textId="41752861" w:rsidR="00A557C0" w:rsidRDefault="5FC7CDDE" w:rsidP="5FC7CDDE">
      <w:pPr>
        <w:pStyle w:val="paragraph"/>
        <w:spacing w:before="0" w:beforeAutospacing="0" w:after="0" w:afterAutospacing="0"/>
        <w:rPr>
          <w:rFonts w:ascii="Segoe UI" w:eastAsia="Segoe UI" w:hAnsi="Segoe UI" w:cs="Segoe UI"/>
          <w:sz w:val="18"/>
          <w:szCs w:val="18"/>
        </w:rPr>
      </w:pPr>
      <w:r w:rsidRPr="5FC7CDDE">
        <w:rPr>
          <w:rFonts w:ascii="Segoe UI" w:eastAsia="Segoe UI" w:hAnsi="Segoe UI" w:cs="Segoe UI"/>
          <w:sz w:val="18"/>
          <w:szCs w:val="18"/>
        </w:rPr>
        <w:t xml:space="preserve">Note: </w:t>
      </w:r>
      <w:r w:rsidR="003E1531">
        <w:rPr>
          <w:rFonts w:ascii="Segoe UI" w:eastAsia="Segoe UI" w:hAnsi="Segoe UI" w:cs="Segoe UI"/>
          <w:sz w:val="18"/>
          <w:szCs w:val="18"/>
        </w:rPr>
        <w:t>S</w:t>
      </w:r>
      <w:r w:rsidRPr="5FC7CDDE">
        <w:rPr>
          <w:rFonts w:ascii="Segoe UI" w:eastAsia="Segoe UI" w:hAnsi="Segoe UI" w:cs="Segoe UI"/>
          <w:sz w:val="18"/>
          <w:szCs w:val="18"/>
        </w:rPr>
        <w:t xml:space="preserve">ome of the increases per student in each of these fees </w:t>
      </w:r>
      <w:r w:rsidR="003E1531">
        <w:rPr>
          <w:rFonts w:ascii="Segoe UI" w:eastAsia="Segoe UI" w:hAnsi="Segoe UI" w:cs="Segoe UI"/>
          <w:sz w:val="18"/>
          <w:szCs w:val="18"/>
        </w:rPr>
        <w:t>are</w:t>
      </w:r>
      <w:r w:rsidRPr="5FC7CDDE">
        <w:rPr>
          <w:rFonts w:ascii="Segoe UI" w:eastAsia="Segoe UI" w:hAnsi="Segoe UI" w:cs="Segoe UI"/>
          <w:sz w:val="18"/>
          <w:szCs w:val="18"/>
        </w:rPr>
        <w:t xml:space="preserve"> reflective of decreasing enrollment. </w:t>
      </w:r>
    </w:p>
    <w:sectPr w:rsidR="00A557C0" w:rsidSect="00CC0D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8582" w14:textId="77777777" w:rsidR="006D7ED3" w:rsidRDefault="006D7ED3">
      <w:pPr>
        <w:spacing w:after="0" w:line="240" w:lineRule="auto"/>
      </w:pPr>
      <w:r>
        <w:separator/>
      </w:r>
    </w:p>
  </w:endnote>
  <w:endnote w:type="continuationSeparator" w:id="0">
    <w:p w14:paraId="64D66EB1" w14:textId="77777777" w:rsidR="006D7ED3" w:rsidRDefault="006D7ED3">
      <w:pPr>
        <w:spacing w:after="0" w:line="240" w:lineRule="auto"/>
      </w:pPr>
      <w:r>
        <w:continuationSeparator/>
      </w:r>
    </w:p>
  </w:endnote>
  <w:endnote w:type="continuationNotice" w:id="1">
    <w:p w14:paraId="6037DD78" w14:textId="77777777" w:rsidR="006D7ED3" w:rsidRDefault="006D7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Calibri,Segoe UI">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33920"/>
      <w:docPartObj>
        <w:docPartGallery w:val="Page Numbers (Bottom of Page)"/>
        <w:docPartUnique/>
      </w:docPartObj>
    </w:sdtPr>
    <w:sdtEndPr>
      <w:rPr>
        <w:noProof/>
      </w:rPr>
    </w:sdtEndPr>
    <w:sdtContent>
      <w:p w14:paraId="2FBF2A2D" w14:textId="4D9483DA" w:rsidR="005E0BC5" w:rsidRDefault="005E0B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6411C" w14:textId="1E1D4613" w:rsidR="44D3998C" w:rsidRDefault="44D3998C" w:rsidP="44D39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D325" w14:textId="77777777" w:rsidR="006D7ED3" w:rsidRDefault="006D7ED3">
      <w:pPr>
        <w:spacing w:after="0" w:line="240" w:lineRule="auto"/>
      </w:pPr>
      <w:r>
        <w:separator/>
      </w:r>
    </w:p>
  </w:footnote>
  <w:footnote w:type="continuationSeparator" w:id="0">
    <w:p w14:paraId="661D8AF7" w14:textId="77777777" w:rsidR="006D7ED3" w:rsidRDefault="006D7ED3">
      <w:pPr>
        <w:spacing w:after="0" w:line="240" w:lineRule="auto"/>
      </w:pPr>
      <w:r>
        <w:continuationSeparator/>
      </w:r>
    </w:p>
  </w:footnote>
  <w:footnote w:type="continuationNotice" w:id="1">
    <w:p w14:paraId="5A3A5AFF" w14:textId="77777777" w:rsidR="006D7ED3" w:rsidRDefault="006D7ED3">
      <w:pPr>
        <w:spacing w:after="0" w:line="240" w:lineRule="auto"/>
      </w:pPr>
    </w:p>
  </w:footnote>
  <w:footnote w:id="2">
    <w:p w14:paraId="688F4605" w14:textId="6FA3DC43" w:rsidR="0093724C" w:rsidRDefault="0093724C">
      <w:pPr>
        <w:pStyle w:val="FootnoteText"/>
      </w:pPr>
      <w:r>
        <w:rPr>
          <w:rStyle w:val="FootnoteReference"/>
        </w:rPr>
        <w:footnoteRef/>
      </w:r>
      <w:r>
        <w:t xml:space="preserve"> </w:t>
      </w:r>
      <w:r w:rsidR="00DD38F2">
        <w:rPr>
          <w:i/>
          <w:iCs/>
        </w:rPr>
        <w:t>Change a</w:t>
      </w:r>
      <w:r w:rsidR="00B94334" w:rsidRPr="00557ADE">
        <w:rPr>
          <w:i/>
          <w:iCs/>
        </w:rPr>
        <w:t>pproved</w:t>
      </w:r>
      <w:r w:rsidR="00D147F9" w:rsidRPr="00557ADE">
        <w:rPr>
          <w:i/>
          <w:iCs/>
        </w:rPr>
        <w:t xml:space="preserve"> </w:t>
      </w:r>
      <w:r w:rsidR="007F53CC" w:rsidRPr="00557ADE">
        <w:rPr>
          <w:i/>
          <w:iCs/>
        </w:rPr>
        <w:t xml:space="preserve">on </w:t>
      </w:r>
      <w:r w:rsidR="00557ADE" w:rsidRPr="00557ADE">
        <w:rPr>
          <w:i/>
          <w:iCs/>
        </w:rPr>
        <w:t>2/4/2022</w:t>
      </w:r>
    </w:p>
  </w:footnote>
  <w:footnote w:id="3">
    <w:p w14:paraId="311F3BAB" w14:textId="00B4B5E3" w:rsidR="7034EF73" w:rsidRDefault="7034EF73" w:rsidP="7034EF73">
      <w:pPr>
        <w:spacing w:after="0" w:line="240" w:lineRule="auto"/>
        <w:rPr>
          <w:rFonts w:ascii="Calibri,Times New Roman" w:eastAsia="Calibri,Times New Roman" w:hAnsi="Calibri,Times New Roman" w:cs="Calibri,Times New Roman"/>
          <w:i/>
          <w:iCs/>
          <w:sz w:val="20"/>
          <w:szCs w:val="20"/>
        </w:rPr>
      </w:pPr>
      <w:r w:rsidRPr="7034EF73">
        <w:rPr>
          <w:rStyle w:val="FootnoteReference"/>
        </w:rPr>
        <w:footnoteRef/>
      </w:r>
      <w:r>
        <w:t xml:space="preserve"> </w:t>
      </w:r>
      <w:r w:rsidRPr="7034EF73">
        <w:rPr>
          <w:rFonts w:ascii="Calibri" w:eastAsia="Calibri" w:hAnsi="Calibri" w:cs="Calibri"/>
          <w:i/>
          <w:iCs/>
          <w:sz w:val="20"/>
          <w:szCs w:val="20"/>
        </w:rPr>
        <w:t>Created in Fall 2008; revised in Spring 2014</w:t>
      </w:r>
    </w:p>
    <w:p w14:paraId="0E170668" w14:textId="6E023A61" w:rsidR="7034EF73" w:rsidRDefault="7034EF73" w:rsidP="7034EF73">
      <w:pPr>
        <w:pStyle w:val="FootnoteText"/>
      </w:pPr>
    </w:p>
  </w:footnote>
  <w:footnote w:id="4">
    <w:p w14:paraId="54A641C1" w14:textId="7B370554" w:rsidR="00211952" w:rsidRDefault="00211952">
      <w:pPr>
        <w:pStyle w:val="FootnoteText"/>
      </w:pPr>
      <w:r>
        <w:rPr>
          <w:rStyle w:val="FootnoteReference"/>
        </w:rPr>
        <w:footnoteRef/>
      </w:r>
      <w:r>
        <w:t xml:space="preserve"> </w:t>
      </w:r>
      <w:r w:rsidRPr="00211952">
        <w:rPr>
          <w:i/>
          <w:iCs/>
        </w:rPr>
        <w:t>Revised Spring 2014</w:t>
      </w:r>
    </w:p>
  </w:footnote>
  <w:footnote w:id="5">
    <w:p w14:paraId="7897927F" w14:textId="332E1815" w:rsidR="00FD68E2" w:rsidRDefault="00FD68E2">
      <w:pPr>
        <w:pStyle w:val="FootnoteText"/>
      </w:pPr>
      <w:r>
        <w:rPr>
          <w:rStyle w:val="FootnoteReference"/>
        </w:rPr>
        <w:footnoteRef/>
      </w:r>
      <w:r>
        <w:t xml:space="preserve"> Increased from $50,000 to $85,000 </w:t>
      </w:r>
      <w:r w:rsidR="00EF0268">
        <w:t>o</w:t>
      </w:r>
      <w:r>
        <w:t xml:space="preserve">n </w:t>
      </w:r>
      <w:r w:rsidR="00EF0268">
        <w:t>11/3/</w:t>
      </w:r>
      <w:r>
        <w:t>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6AE"/>
    <w:multiLevelType w:val="multilevel"/>
    <w:tmpl w:val="277894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5D6D"/>
    <w:multiLevelType w:val="hybridMultilevel"/>
    <w:tmpl w:val="044C1A3E"/>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947A1"/>
    <w:multiLevelType w:val="hybridMultilevel"/>
    <w:tmpl w:val="F182A450"/>
    <w:lvl w:ilvl="0" w:tplc="448E5056">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A46DF"/>
    <w:multiLevelType w:val="multilevel"/>
    <w:tmpl w:val="3A60EA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A6BAC"/>
    <w:multiLevelType w:val="hybridMultilevel"/>
    <w:tmpl w:val="EF7E5192"/>
    <w:lvl w:ilvl="0" w:tplc="D7624FE2">
      <w:start w:val="1"/>
      <w:numFmt w:val="bullet"/>
      <w:lvlText w:val=""/>
      <w:lvlJc w:val="left"/>
      <w:pPr>
        <w:ind w:left="720" w:hanging="360"/>
      </w:pPr>
      <w:rPr>
        <w:rFonts w:ascii="Symbol" w:hAnsi="Symbol" w:hint="default"/>
      </w:rPr>
    </w:lvl>
    <w:lvl w:ilvl="1" w:tplc="E22A1B6C">
      <w:start w:val="1"/>
      <w:numFmt w:val="bullet"/>
      <w:lvlText w:val="o"/>
      <w:lvlJc w:val="left"/>
      <w:pPr>
        <w:ind w:left="1440" w:hanging="360"/>
      </w:pPr>
      <w:rPr>
        <w:rFonts w:ascii="Courier New" w:hAnsi="Courier New" w:hint="default"/>
      </w:rPr>
    </w:lvl>
    <w:lvl w:ilvl="2" w:tplc="7368D096">
      <w:start w:val="1"/>
      <w:numFmt w:val="bullet"/>
      <w:lvlText w:val=""/>
      <w:lvlJc w:val="left"/>
      <w:pPr>
        <w:ind w:left="2160" w:hanging="360"/>
      </w:pPr>
      <w:rPr>
        <w:rFonts w:ascii="Wingdings" w:hAnsi="Wingdings" w:hint="default"/>
      </w:rPr>
    </w:lvl>
    <w:lvl w:ilvl="3" w:tplc="A19A1EDA">
      <w:start w:val="1"/>
      <w:numFmt w:val="bullet"/>
      <w:lvlText w:val=""/>
      <w:lvlJc w:val="left"/>
      <w:pPr>
        <w:ind w:left="2880" w:hanging="360"/>
      </w:pPr>
      <w:rPr>
        <w:rFonts w:ascii="Symbol" w:hAnsi="Symbol" w:hint="default"/>
      </w:rPr>
    </w:lvl>
    <w:lvl w:ilvl="4" w:tplc="FD484DE8">
      <w:start w:val="1"/>
      <w:numFmt w:val="bullet"/>
      <w:lvlText w:val="o"/>
      <w:lvlJc w:val="left"/>
      <w:pPr>
        <w:ind w:left="3600" w:hanging="360"/>
      </w:pPr>
      <w:rPr>
        <w:rFonts w:ascii="Courier New" w:hAnsi="Courier New" w:hint="default"/>
      </w:rPr>
    </w:lvl>
    <w:lvl w:ilvl="5" w:tplc="510EECC8">
      <w:start w:val="1"/>
      <w:numFmt w:val="bullet"/>
      <w:lvlText w:val=""/>
      <w:lvlJc w:val="left"/>
      <w:pPr>
        <w:ind w:left="4320" w:hanging="360"/>
      </w:pPr>
      <w:rPr>
        <w:rFonts w:ascii="Wingdings" w:hAnsi="Wingdings" w:hint="default"/>
      </w:rPr>
    </w:lvl>
    <w:lvl w:ilvl="6" w:tplc="77965560">
      <w:start w:val="1"/>
      <w:numFmt w:val="bullet"/>
      <w:lvlText w:val=""/>
      <w:lvlJc w:val="left"/>
      <w:pPr>
        <w:ind w:left="5040" w:hanging="360"/>
      </w:pPr>
      <w:rPr>
        <w:rFonts w:ascii="Symbol" w:hAnsi="Symbol" w:hint="default"/>
      </w:rPr>
    </w:lvl>
    <w:lvl w:ilvl="7" w:tplc="D568B93A">
      <w:start w:val="1"/>
      <w:numFmt w:val="bullet"/>
      <w:lvlText w:val="o"/>
      <w:lvlJc w:val="left"/>
      <w:pPr>
        <w:ind w:left="5760" w:hanging="360"/>
      </w:pPr>
      <w:rPr>
        <w:rFonts w:ascii="Courier New" w:hAnsi="Courier New" w:hint="default"/>
      </w:rPr>
    </w:lvl>
    <w:lvl w:ilvl="8" w:tplc="69765DEA">
      <w:start w:val="1"/>
      <w:numFmt w:val="bullet"/>
      <w:lvlText w:val=""/>
      <w:lvlJc w:val="left"/>
      <w:pPr>
        <w:ind w:left="6480" w:hanging="360"/>
      </w:pPr>
      <w:rPr>
        <w:rFonts w:ascii="Wingdings" w:hAnsi="Wingdings" w:hint="default"/>
      </w:rPr>
    </w:lvl>
  </w:abstractNum>
  <w:abstractNum w:abstractNumId="5" w15:restartNumberingAfterBreak="0">
    <w:nsid w:val="2F1B6234"/>
    <w:multiLevelType w:val="hybridMultilevel"/>
    <w:tmpl w:val="FAE85A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352D8"/>
    <w:multiLevelType w:val="hybridMultilevel"/>
    <w:tmpl w:val="FE489A1E"/>
    <w:lvl w:ilvl="0" w:tplc="DEA293B4">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524F3"/>
    <w:multiLevelType w:val="hybridMultilevel"/>
    <w:tmpl w:val="60B478EC"/>
    <w:lvl w:ilvl="0" w:tplc="93605E18">
      <w:start w:val="1"/>
      <w:numFmt w:val="bullet"/>
      <w:lvlText w:val=""/>
      <w:lvlJc w:val="left"/>
      <w:pPr>
        <w:ind w:left="720" w:hanging="360"/>
      </w:pPr>
      <w:rPr>
        <w:rFonts w:ascii="Symbol" w:hAnsi="Symbol" w:hint="default"/>
      </w:rPr>
    </w:lvl>
    <w:lvl w:ilvl="1" w:tplc="2EB891B8">
      <w:start w:val="1"/>
      <w:numFmt w:val="bullet"/>
      <w:lvlText w:val="o"/>
      <w:lvlJc w:val="left"/>
      <w:pPr>
        <w:ind w:left="1440" w:hanging="360"/>
      </w:pPr>
      <w:rPr>
        <w:rFonts w:ascii="Courier New" w:hAnsi="Courier New" w:hint="default"/>
      </w:rPr>
    </w:lvl>
    <w:lvl w:ilvl="2" w:tplc="E644562E">
      <w:start w:val="1"/>
      <w:numFmt w:val="bullet"/>
      <w:lvlText w:val=""/>
      <w:lvlJc w:val="left"/>
      <w:pPr>
        <w:ind w:left="2160" w:hanging="360"/>
      </w:pPr>
      <w:rPr>
        <w:rFonts w:ascii="Wingdings" w:hAnsi="Wingdings" w:hint="default"/>
      </w:rPr>
    </w:lvl>
    <w:lvl w:ilvl="3" w:tplc="B20043EC">
      <w:start w:val="1"/>
      <w:numFmt w:val="bullet"/>
      <w:lvlText w:val=""/>
      <w:lvlJc w:val="left"/>
      <w:pPr>
        <w:ind w:left="2880" w:hanging="360"/>
      </w:pPr>
      <w:rPr>
        <w:rFonts w:ascii="Symbol" w:hAnsi="Symbol" w:hint="default"/>
      </w:rPr>
    </w:lvl>
    <w:lvl w:ilvl="4" w:tplc="09E4CC0E">
      <w:start w:val="1"/>
      <w:numFmt w:val="bullet"/>
      <w:lvlText w:val="o"/>
      <w:lvlJc w:val="left"/>
      <w:pPr>
        <w:ind w:left="3600" w:hanging="360"/>
      </w:pPr>
      <w:rPr>
        <w:rFonts w:ascii="Courier New" w:hAnsi="Courier New" w:hint="default"/>
      </w:rPr>
    </w:lvl>
    <w:lvl w:ilvl="5" w:tplc="EB966EE4">
      <w:start w:val="1"/>
      <w:numFmt w:val="bullet"/>
      <w:lvlText w:val=""/>
      <w:lvlJc w:val="left"/>
      <w:pPr>
        <w:ind w:left="4320" w:hanging="360"/>
      </w:pPr>
      <w:rPr>
        <w:rFonts w:ascii="Wingdings" w:hAnsi="Wingdings" w:hint="default"/>
      </w:rPr>
    </w:lvl>
    <w:lvl w:ilvl="6" w:tplc="B5C00302">
      <w:start w:val="1"/>
      <w:numFmt w:val="bullet"/>
      <w:lvlText w:val=""/>
      <w:lvlJc w:val="left"/>
      <w:pPr>
        <w:ind w:left="5040" w:hanging="360"/>
      </w:pPr>
      <w:rPr>
        <w:rFonts w:ascii="Symbol" w:hAnsi="Symbol" w:hint="default"/>
      </w:rPr>
    </w:lvl>
    <w:lvl w:ilvl="7" w:tplc="CA1C4DBE">
      <w:start w:val="1"/>
      <w:numFmt w:val="bullet"/>
      <w:lvlText w:val="o"/>
      <w:lvlJc w:val="left"/>
      <w:pPr>
        <w:ind w:left="5760" w:hanging="360"/>
      </w:pPr>
      <w:rPr>
        <w:rFonts w:ascii="Courier New" w:hAnsi="Courier New" w:hint="default"/>
      </w:rPr>
    </w:lvl>
    <w:lvl w:ilvl="8" w:tplc="E1FC37AC">
      <w:start w:val="1"/>
      <w:numFmt w:val="bullet"/>
      <w:lvlText w:val=""/>
      <w:lvlJc w:val="left"/>
      <w:pPr>
        <w:ind w:left="6480" w:hanging="360"/>
      </w:pPr>
      <w:rPr>
        <w:rFonts w:ascii="Wingdings" w:hAnsi="Wingdings" w:hint="default"/>
      </w:rPr>
    </w:lvl>
  </w:abstractNum>
  <w:abstractNum w:abstractNumId="8" w15:restartNumberingAfterBreak="0">
    <w:nsid w:val="32523389"/>
    <w:multiLevelType w:val="hybridMultilevel"/>
    <w:tmpl w:val="907EA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16832"/>
    <w:multiLevelType w:val="hybridMultilevel"/>
    <w:tmpl w:val="481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6592B"/>
    <w:multiLevelType w:val="multilevel"/>
    <w:tmpl w:val="2EBC29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E55C6"/>
    <w:multiLevelType w:val="hybridMultilevel"/>
    <w:tmpl w:val="B0808F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60EFA"/>
    <w:multiLevelType w:val="hybridMultilevel"/>
    <w:tmpl w:val="793E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E2A63"/>
    <w:multiLevelType w:val="hybridMultilevel"/>
    <w:tmpl w:val="BD32E1AC"/>
    <w:lvl w:ilvl="0" w:tplc="DEA293B4">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6407E"/>
    <w:multiLevelType w:val="hybridMultilevel"/>
    <w:tmpl w:val="AED0E5D6"/>
    <w:lvl w:ilvl="0" w:tplc="DEA293B4">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4A6DC5"/>
    <w:multiLevelType w:val="hybridMultilevel"/>
    <w:tmpl w:val="692C3CA0"/>
    <w:lvl w:ilvl="0" w:tplc="2452C70E">
      <w:start w:val="1"/>
      <w:numFmt w:val="decimal"/>
      <w:lvlText w:val="%1."/>
      <w:lvlJc w:val="left"/>
      <w:pPr>
        <w:ind w:left="1080" w:hanging="720"/>
      </w:pPr>
      <w:rPr>
        <w:rFonts w:asciiTheme="minorHAnsi" w:eastAsiaTheme="minorHAnsi" w:hAnsiTheme="minorHAnsi" w:cstheme="minorBidi"/>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560569">
    <w:abstractNumId w:val="4"/>
  </w:num>
  <w:num w:numId="2" w16cid:durableId="1284462989">
    <w:abstractNumId w:val="7"/>
  </w:num>
  <w:num w:numId="3" w16cid:durableId="1530291584">
    <w:abstractNumId w:val="10"/>
  </w:num>
  <w:num w:numId="4" w16cid:durableId="1809973785">
    <w:abstractNumId w:val="3"/>
  </w:num>
  <w:num w:numId="5" w16cid:durableId="1746226523">
    <w:abstractNumId w:val="0"/>
  </w:num>
  <w:num w:numId="6" w16cid:durableId="1710379501">
    <w:abstractNumId w:val="13"/>
  </w:num>
  <w:num w:numId="7" w16cid:durableId="1714773467">
    <w:abstractNumId w:val="6"/>
  </w:num>
  <w:num w:numId="8" w16cid:durableId="258293825">
    <w:abstractNumId w:val="14"/>
  </w:num>
  <w:num w:numId="9" w16cid:durableId="359821237">
    <w:abstractNumId w:val="1"/>
  </w:num>
  <w:num w:numId="10" w16cid:durableId="208107615">
    <w:abstractNumId w:val="8"/>
  </w:num>
  <w:num w:numId="11" w16cid:durableId="2114935996">
    <w:abstractNumId w:val="5"/>
  </w:num>
  <w:num w:numId="12" w16cid:durableId="1191994654">
    <w:abstractNumId w:val="11"/>
  </w:num>
  <w:num w:numId="13" w16cid:durableId="860976766">
    <w:abstractNumId w:val="12"/>
  </w:num>
  <w:num w:numId="14" w16cid:durableId="1019434635">
    <w:abstractNumId w:val="15"/>
  </w:num>
  <w:num w:numId="15" w16cid:durableId="1502357674">
    <w:abstractNumId w:val="2"/>
  </w:num>
  <w:num w:numId="16" w16cid:durableId="760679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4A"/>
    <w:rsid w:val="00002A1B"/>
    <w:rsid w:val="000335BE"/>
    <w:rsid w:val="000461F6"/>
    <w:rsid w:val="00046952"/>
    <w:rsid w:val="000550DA"/>
    <w:rsid w:val="000654B2"/>
    <w:rsid w:val="00073CF0"/>
    <w:rsid w:val="000802E3"/>
    <w:rsid w:val="00090616"/>
    <w:rsid w:val="000A438C"/>
    <w:rsid w:val="000A654B"/>
    <w:rsid w:val="000D31F8"/>
    <w:rsid w:val="000D7635"/>
    <w:rsid w:val="000F25B7"/>
    <w:rsid w:val="000F4517"/>
    <w:rsid w:val="00104B70"/>
    <w:rsid w:val="001159FA"/>
    <w:rsid w:val="00116BCE"/>
    <w:rsid w:val="00117C27"/>
    <w:rsid w:val="00121EF6"/>
    <w:rsid w:val="00134683"/>
    <w:rsid w:val="00147EC3"/>
    <w:rsid w:val="0015274B"/>
    <w:rsid w:val="00161DDF"/>
    <w:rsid w:val="00164291"/>
    <w:rsid w:val="00165B80"/>
    <w:rsid w:val="001713BD"/>
    <w:rsid w:val="001A4159"/>
    <w:rsid w:val="001A52B3"/>
    <w:rsid w:val="001A6261"/>
    <w:rsid w:val="001B2C1D"/>
    <w:rsid w:val="001B3A8E"/>
    <w:rsid w:val="001C0AE8"/>
    <w:rsid w:val="001C468E"/>
    <w:rsid w:val="001D3075"/>
    <w:rsid w:val="001F3D8E"/>
    <w:rsid w:val="001F5CAA"/>
    <w:rsid w:val="001F72FB"/>
    <w:rsid w:val="00204EA7"/>
    <w:rsid w:val="002066D9"/>
    <w:rsid w:val="00207039"/>
    <w:rsid w:val="00211952"/>
    <w:rsid w:val="0021201B"/>
    <w:rsid w:val="00217A0D"/>
    <w:rsid w:val="00223326"/>
    <w:rsid w:val="002350D0"/>
    <w:rsid w:val="00247B4A"/>
    <w:rsid w:val="00254345"/>
    <w:rsid w:val="0025636D"/>
    <w:rsid w:val="00261A0F"/>
    <w:rsid w:val="00271B26"/>
    <w:rsid w:val="002764CF"/>
    <w:rsid w:val="00282BD8"/>
    <w:rsid w:val="00294350"/>
    <w:rsid w:val="002964C5"/>
    <w:rsid w:val="002A3D62"/>
    <w:rsid w:val="002A749C"/>
    <w:rsid w:val="002B05A1"/>
    <w:rsid w:val="002B1ED1"/>
    <w:rsid w:val="002B32C0"/>
    <w:rsid w:val="002E1400"/>
    <w:rsid w:val="002F6F17"/>
    <w:rsid w:val="00300CDA"/>
    <w:rsid w:val="00315107"/>
    <w:rsid w:val="00323E60"/>
    <w:rsid w:val="00334D46"/>
    <w:rsid w:val="00343A78"/>
    <w:rsid w:val="00343A9E"/>
    <w:rsid w:val="003476AD"/>
    <w:rsid w:val="0037006C"/>
    <w:rsid w:val="003749D0"/>
    <w:rsid w:val="00376542"/>
    <w:rsid w:val="00381B25"/>
    <w:rsid w:val="003939C4"/>
    <w:rsid w:val="00395717"/>
    <w:rsid w:val="00395988"/>
    <w:rsid w:val="003A2A8A"/>
    <w:rsid w:val="003A76F9"/>
    <w:rsid w:val="003A7A73"/>
    <w:rsid w:val="003B0562"/>
    <w:rsid w:val="003E1256"/>
    <w:rsid w:val="003E1531"/>
    <w:rsid w:val="004027BA"/>
    <w:rsid w:val="00405226"/>
    <w:rsid w:val="00411BF2"/>
    <w:rsid w:val="004171FB"/>
    <w:rsid w:val="004208BA"/>
    <w:rsid w:val="00434AAB"/>
    <w:rsid w:val="00441EA7"/>
    <w:rsid w:val="004520FC"/>
    <w:rsid w:val="004564F0"/>
    <w:rsid w:val="00465816"/>
    <w:rsid w:val="004732AC"/>
    <w:rsid w:val="004A0EDC"/>
    <w:rsid w:val="004C158B"/>
    <w:rsid w:val="004D2DC9"/>
    <w:rsid w:val="004E10C3"/>
    <w:rsid w:val="004F34CC"/>
    <w:rsid w:val="00500A7C"/>
    <w:rsid w:val="00512A4B"/>
    <w:rsid w:val="00526B6D"/>
    <w:rsid w:val="00527E5C"/>
    <w:rsid w:val="005363C0"/>
    <w:rsid w:val="00540D30"/>
    <w:rsid w:val="00545026"/>
    <w:rsid w:val="00556267"/>
    <w:rsid w:val="00557ADE"/>
    <w:rsid w:val="00573BBC"/>
    <w:rsid w:val="00583018"/>
    <w:rsid w:val="00590635"/>
    <w:rsid w:val="0059167F"/>
    <w:rsid w:val="00596078"/>
    <w:rsid w:val="005A628A"/>
    <w:rsid w:val="005B2DDB"/>
    <w:rsid w:val="005B6C3D"/>
    <w:rsid w:val="005C3874"/>
    <w:rsid w:val="005E0BC5"/>
    <w:rsid w:val="005E25C3"/>
    <w:rsid w:val="005E4377"/>
    <w:rsid w:val="005F03F8"/>
    <w:rsid w:val="006132D2"/>
    <w:rsid w:val="00637726"/>
    <w:rsid w:val="00641C4B"/>
    <w:rsid w:val="00664D7F"/>
    <w:rsid w:val="00665C7B"/>
    <w:rsid w:val="0067233A"/>
    <w:rsid w:val="00675DCA"/>
    <w:rsid w:val="00685B21"/>
    <w:rsid w:val="00697059"/>
    <w:rsid w:val="006A21BB"/>
    <w:rsid w:val="006A7458"/>
    <w:rsid w:val="006B67D1"/>
    <w:rsid w:val="006C1193"/>
    <w:rsid w:val="006D3670"/>
    <w:rsid w:val="006D7ED3"/>
    <w:rsid w:val="006E2C79"/>
    <w:rsid w:val="006E49D7"/>
    <w:rsid w:val="006F3391"/>
    <w:rsid w:val="007044C0"/>
    <w:rsid w:val="007137DD"/>
    <w:rsid w:val="00743DEA"/>
    <w:rsid w:val="00753407"/>
    <w:rsid w:val="00764D0F"/>
    <w:rsid w:val="0076521E"/>
    <w:rsid w:val="007745B0"/>
    <w:rsid w:val="00783A81"/>
    <w:rsid w:val="00790B61"/>
    <w:rsid w:val="00790D27"/>
    <w:rsid w:val="007942C2"/>
    <w:rsid w:val="007A2387"/>
    <w:rsid w:val="007B6014"/>
    <w:rsid w:val="007C41D3"/>
    <w:rsid w:val="007C42F0"/>
    <w:rsid w:val="007F0CD7"/>
    <w:rsid w:val="007F53CC"/>
    <w:rsid w:val="007F7BFA"/>
    <w:rsid w:val="00842242"/>
    <w:rsid w:val="008A7E00"/>
    <w:rsid w:val="008B33B0"/>
    <w:rsid w:val="008B3647"/>
    <w:rsid w:val="008C4564"/>
    <w:rsid w:val="008C5F4E"/>
    <w:rsid w:val="008D7D4E"/>
    <w:rsid w:val="008E2E56"/>
    <w:rsid w:val="008E7640"/>
    <w:rsid w:val="008F200B"/>
    <w:rsid w:val="008F5968"/>
    <w:rsid w:val="00924803"/>
    <w:rsid w:val="00933AAB"/>
    <w:rsid w:val="0093724C"/>
    <w:rsid w:val="0094022A"/>
    <w:rsid w:val="00953714"/>
    <w:rsid w:val="009608CD"/>
    <w:rsid w:val="00962B9F"/>
    <w:rsid w:val="00962EC7"/>
    <w:rsid w:val="00964774"/>
    <w:rsid w:val="0096663B"/>
    <w:rsid w:val="009666F9"/>
    <w:rsid w:val="009700D4"/>
    <w:rsid w:val="0097039E"/>
    <w:rsid w:val="00975C7D"/>
    <w:rsid w:val="0098040D"/>
    <w:rsid w:val="009856F1"/>
    <w:rsid w:val="009B00D9"/>
    <w:rsid w:val="009C25A0"/>
    <w:rsid w:val="009C5E41"/>
    <w:rsid w:val="009D57E8"/>
    <w:rsid w:val="009E50A8"/>
    <w:rsid w:val="009F66E1"/>
    <w:rsid w:val="00A20C86"/>
    <w:rsid w:val="00A23760"/>
    <w:rsid w:val="00A276D9"/>
    <w:rsid w:val="00A31773"/>
    <w:rsid w:val="00A3192C"/>
    <w:rsid w:val="00A46ACE"/>
    <w:rsid w:val="00A557C0"/>
    <w:rsid w:val="00A576B8"/>
    <w:rsid w:val="00A57815"/>
    <w:rsid w:val="00A6511B"/>
    <w:rsid w:val="00A73856"/>
    <w:rsid w:val="00A85154"/>
    <w:rsid w:val="00A85277"/>
    <w:rsid w:val="00A960D4"/>
    <w:rsid w:val="00AA15A0"/>
    <w:rsid w:val="00AA6B4D"/>
    <w:rsid w:val="00AB2B70"/>
    <w:rsid w:val="00AC6454"/>
    <w:rsid w:val="00AF3F76"/>
    <w:rsid w:val="00B307C7"/>
    <w:rsid w:val="00B320E2"/>
    <w:rsid w:val="00B3417F"/>
    <w:rsid w:val="00B34D2A"/>
    <w:rsid w:val="00B3704F"/>
    <w:rsid w:val="00B4089B"/>
    <w:rsid w:val="00B45694"/>
    <w:rsid w:val="00B460BA"/>
    <w:rsid w:val="00B62E34"/>
    <w:rsid w:val="00B65ADF"/>
    <w:rsid w:val="00B66AA5"/>
    <w:rsid w:val="00B86F22"/>
    <w:rsid w:val="00B91655"/>
    <w:rsid w:val="00B94334"/>
    <w:rsid w:val="00BA5D4E"/>
    <w:rsid w:val="00BA795C"/>
    <w:rsid w:val="00BA7D90"/>
    <w:rsid w:val="00BE1440"/>
    <w:rsid w:val="00BF0C91"/>
    <w:rsid w:val="00BF364A"/>
    <w:rsid w:val="00C05A60"/>
    <w:rsid w:val="00C0776D"/>
    <w:rsid w:val="00C20B82"/>
    <w:rsid w:val="00C24B68"/>
    <w:rsid w:val="00C34E86"/>
    <w:rsid w:val="00C36D38"/>
    <w:rsid w:val="00C42BB5"/>
    <w:rsid w:val="00C44699"/>
    <w:rsid w:val="00C4601C"/>
    <w:rsid w:val="00C52C74"/>
    <w:rsid w:val="00C54072"/>
    <w:rsid w:val="00C62F5B"/>
    <w:rsid w:val="00C77F15"/>
    <w:rsid w:val="00C83526"/>
    <w:rsid w:val="00C977C0"/>
    <w:rsid w:val="00C97D36"/>
    <w:rsid w:val="00CA7D9F"/>
    <w:rsid w:val="00CB7FA6"/>
    <w:rsid w:val="00CC0D03"/>
    <w:rsid w:val="00CC6A37"/>
    <w:rsid w:val="00CC7459"/>
    <w:rsid w:val="00CD5667"/>
    <w:rsid w:val="00CD61ED"/>
    <w:rsid w:val="00CF0B2A"/>
    <w:rsid w:val="00D00FF8"/>
    <w:rsid w:val="00D0375D"/>
    <w:rsid w:val="00D147F9"/>
    <w:rsid w:val="00D15D9C"/>
    <w:rsid w:val="00D240D7"/>
    <w:rsid w:val="00D2495D"/>
    <w:rsid w:val="00D33FCE"/>
    <w:rsid w:val="00D45B27"/>
    <w:rsid w:val="00D463F0"/>
    <w:rsid w:val="00D47839"/>
    <w:rsid w:val="00D47BA5"/>
    <w:rsid w:val="00D53AB1"/>
    <w:rsid w:val="00D570C8"/>
    <w:rsid w:val="00D66456"/>
    <w:rsid w:val="00D71939"/>
    <w:rsid w:val="00D764A4"/>
    <w:rsid w:val="00D830B4"/>
    <w:rsid w:val="00D95F44"/>
    <w:rsid w:val="00DA27E7"/>
    <w:rsid w:val="00DA3B4F"/>
    <w:rsid w:val="00DA6210"/>
    <w:rsid w:val="00DB7C25"/>
    <w:rsid w:val="00DC163A"/>
    <w:rsid w:val="00DC4A8D"/>
    <w:rsid w:val="00DC723C"/>
    <w:rsid w:val="00DD38F2"/>
    <w:rsid w:val="00DE028F"/>
    <w:rsid w:val="00E0452F"/>
    <w:rsid w:val="00E12756"/>
    <w:rsid w:val="00E22007"/>
    <w:rsid w:val="00E26A91"/>
    <w:rsid w:val="00E32EAF"/>
    <w:rsid w:val="00E35ECA"/>
    <w:rsid w:val="00E41489"/>
    <w:rsid w:val="00E425EB"/>
    <w:rsid w:val="00E57C28"/>
    <w:rsid w:val="00E6192A"/>
    <w:rsid w:val="00E63684"/>
    <w:rsid w:val="00E640CC"/>
    <w:rsid w:val="00E65C7A"/>
    <w:rsid w:val="00E732B0"/>
    <w:rsid w:val="00E85402"/>
    <w:rsid w:val="00E86A48"/>
    <w:rsid w:val="00E93098"/>
    <w:rsid w:val="00EA3523"/>
    <w:rsid w:val="00EB3323"/>
    <w:rsid w:val="00EC199D"/>
    <w:rsid w:val="00EC6207"/>
    <w:rsid w:val="00ED269D"/>
    <w:rsid w:val="00EE3305"/>
    <w:rsid w:val="00EE36D9"/>
    <w:rsid w:val="00EF0268"/>
    <w:rsid w:val="00EF6474"/>
    <w:rsid w:val="00F04622"/>
    <w:rsid w:val="00F20232"/>
    <w:rsid w:val="00F24775"/>
    <w:rsid w:val="00F25114"/>
    <w:rsid w:val="00F4407E"/>
    <w:rsid w:val="00F50084"/>
    <w:rsid w:val="00F513F7"/>
    <w:rsid w:val="00F536CC"/>
    <w:rsid w:val="00F74FDF"/>
    <w:rsid w:val="00FA17B7"/>
    <w:rsid w:val="00FA24B2"/>
    <w:rsid w:val="00FC3D9B"/>
    <w:rsid w:val="00FC4778"/>
    <w:rsid w:val="00FD2A1F"/>
    <w:rsid w:val="00FD3533"/>
    <w:rsid w:val="00FD5641"/>
    <w:rsid w:val="00FD68E2"/>
    <w:rsid w:val="00FE487E"/>
    <w:rsid w:val="00FE5801"/>
    <w:rsid w:val="013A8744"/>
    <w:rsid w:val="01C272FC"/>
    <w:rsid w:val="0226FF60"/>
    <w:rsid w:val="024682C9"/>
    <w:rsid w:val="054770FE"/>
    <w:rsid w:val="068995FC"/>
    <w:rsid w:val="076937D0"/>
    <w:rsid w:val="07D10352"/>
    <w:rsid w:val="095E0274"/>
    <w:rsid w:val="0A8AD8DC"/>
    <w:rsid w:val="0E753B96"/>
    <w:rsid w:val="18126269"/>
    <w:rsid w:val="192272E0"/>
    <w:rsid w:val="1978A5B9"/>
    <w:rsid w:val="199496B8"/>
    <w:rsid w:val="1A07A715"/>
    <w:rsid w:val="24E69931"/>
    <w:rsid w:val="2591737B"/>
    <w:rsid w:val="29855A83"/>
    <w:rsid w:val="2A71D783"/>
    <w:rsid w:val="2AF3EBDB"/>
    <w:rsid w:val="31897F53"/>
    <w:rsid w:val="31FFD850"/>
    <w:rsid w:val="36357C8F"/>
    <w:rsid w:val="3863F1A2"/>
    <w:rsid w:val="39AB3349"/>
    <w:rsid w:val="3F5D9D39"/>
    <w:rsid w:val="429CE0B1"/>
    <w:rsid w:val="44D3998C"/>
    <w:rsid w:val="46B96B88"/>
    <w:rsid w:val="4834C436"/>
    <w:rsid w:val="4DE86EC4"/>
    <w:rsid w:val="4E419829"/>
    <w:rsid w:val="4EBDE721"/>
    <w:rsid w:val="56CA0A44"/>
    <w:rsid w:val="5D8E5493"/>
    <w:rsid w:val="5E1FAF5A"/>
    <w:rsid w:val="5F8699AF"/>
    <w:rsid w:val="5FC7CDDE"/>
    <w:rsid w:val="608FA5AA"/>
    <w:rsid w:val="61FEB975"/>
    <w:rsid w:val="658F01F4"/>
    <w:rsid w:val="6869B25A"/>
    <w:rsid w:val="6D8D7E45"/>
    <w:rsid w:val="6FF0708E"/>
    <w:rsid w:val="7034EF73"/>
    <w:rsid w:val="7727CDC2"/>
    <w:rsid w:val="7A369D04"/>
    <w:rsid w:val="7DEDC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54A5"/>
  <w15:docId w15:val="{3269058C-8C3B-44E9-8AE4-7ADE6B23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7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B4A"/>
  </w:style>
  <w:style w:type="character" w:customStyle="1" w:styleId="eop">
    <w:name w:val="eop"/>
    <w:basedOn w:val="DefaultParagraphFont"/>
    <w:rsid w:val="00247B4A"/>
  </w:style>
  <w:style w:type="paragraph" w:styleId="ListParagraph">
    <w:name w:val="List Paragraph"/>
    <w:basedOn w:val="Normal"/>
    <w:uiPriority w:val="34"/>
    <w:qFormat/>
    <w:rsid w:val="00D33FCE"/>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441EA7"/>
    <w:rPr>
      <w:sz w:val="16"/>
      <w:szCs w:val="16"/>
    </w:rPr>
  </w:style>
  <w:style w:type="paragraph" w:styleId="CommentText">
    <w:name w:val="annotation text"/>
    <w:basedOn w:val="Normal"/>
    <w:link w:val="CommentTextChar"/>
    <w:uiPriority w:val="99"/>
    <w:semiHidden/>
    <w:unhideWhenUsed/>
    <w:rsid w:val="00441EA7"/>
    <w:pPr>
      <w:spacing w:line="240" w:lineRule="auto"/>
    </w:pPr>
    <w:rPr>
      <w:sz w:val="20"/>
      <w:szCs w:val="20"/>
    </w:rPr>
  </w:style>
  <w:style w:type="character" w:customStyle="1" w:styleId="CommentTextChar">
    <w:name w:val="Comment Text Char"/>
    <w:basedOn w:val="DefaultParagraphFont"/>
    <w:link w:val="CommentText"/>
    <w:uiPriority w:val="99"/>
    <w:semiHidden/>
    <w:rsid w:val="00441EA7"/>
    <w:rPr>
      <w:sz w:val="20"/>
      <w:szCs w:val="20"/>
    </w:rPr>
  </w:style>
  <w:style w:type="paragraph" w:styleId="CommentSubject">
    <w:name w:val="annotation subject"/>
    <w:basedOn w:val="CommentText"/>
    <w:next w:val="CommentText"/>
    <w:link w:val="CommentSubjectChar"/>
    <w:uiPriority w:val="99"/>
    <w:semiHidden/>
    <w:unhideWhenUsed/>
    <w:rsid w:val="00441EA7"/>
    <w:rPr>
      <w:b/>
      <w:bCs/>
    </w:rPr>
  </w:style>
  <w:style w:type="character" w:customStyle="1" w:styleId="CommentSubjectChar">
    <w:name w:val="Comment Subject Char"/>
    <w:basedOn w:val="CommentTextChar"/>
    <w:link w:val="CommentSubject"/>
    <w:uiPriority w:val="99"/>
    <w:semiHidden/>
    <w:rsid w:val="00441EA7"/>
    <w:rPr>
      <w:b/>
      <w:bCs/>
      <w:sz w:val="20"/>
      <w:szCs w:val="20"/>
    </w:rPr>
  </w:style>
  <w:style w:type="paragraph" w:styleId="BalloonText">
    <w:name w:val="Balloon Text"/>
    <w:basedOn w:val="Normal"/>
    <w:link w:val="BalloonTextChar"/>
    <w:uiPriority w:val="99"/>
    <w:semiHidden/>
    <w:unhideWhenUsed/>
    <w:rsid w:val="0044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A7"/>
    <w:rPr>
      <w:rFonts w:ascii="Segoe UI" w:hAnsi="Segoe UI" w:cs="Segoe UI"/>
      <w:sz w:val="18"/>
      <w:szCs w:val="18"/>
    </w:rPr>
  </w:style>
  <w:style w:type="character" w:styleId="FollowedHyperlink">
    <w:name w:val="FollowedHyperlink"/>
    <w:basedOn w:val="DefaultParagraphFont"/>
    <w:uiPriority w:val="99"/>
    <w:semiHidden/>
    <w:unhideWhenUsed/>
    <w:rsid w:val="0067233A"/>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GridTable2-Accent1">
    <w:name w:val="Grid Table 2 Accent 1"/>
    <w:basedOn w:val="TableNormal"/>
    <w:uiPriority w:val="47"/>
    <w:rsid w:val="00D570C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A7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1362">
      <w:bodyDiv w:val="1"/>
      <w:marLeft w:val="0"/>
      <w:marRight w:val="0"/>
      <w:marTop w:val="0"/>
      <w:marBottom w:val="0"/>
      <w:divBdr>
        <w:top w:val="none" w:sz="0" w:space="0" w:color="auto"/>
        <w:left w:val="none" w:sz="0" w:space="0" w:color="auto"/>
        <w:bottom w:val="none" w:sz="0" w:space="0" w:color="auto"/>
        <w:right w:val="none" w:sz="0" w:space="0" w:color="auto"/>
      </w:divBdr>
    </w:div>
    <w:div w:id="132989002">
      <w:bodyDiv w:val="1"/>
      <w:marLeft w:val="0"/>
      <w:marRight w:val="0"/>
      <w:marTop w:val="0"/>
      <w:marBottom w:val="0"/>
      <w:divBdr>
        <w:top w:val="none" w:sz="0" w:space="0" w:color="auto"/>
        <w:left w:val="none" w:sz="0" w:space="0" w:color="auto"/>
        <w:bottom w:val="none" w:sz="0" w:space="0" w:color="auto"/>
        <w:right w:val="none" w:sz="0" w:space="0" w:color="auto"/>
      </w:divBdr>
    </w:div>
    <w:div w:id="618875492">
      <w:bodyDiv w:val="1"/>
      <w:marLeft w:val="0"/>
      <w:marRight w:val="0"/>
      <w:marTop w:val="0"/>
      <w:marBottom w:val="0"/>
      <w:divBdr>
        <w:top w:val="none" w:sz="0" w:space="0" w:color="auto"/>
        <w:left w:val="none" w:sz="0" w:space="0" w:color="auto"/>
        <w:bottom w:val="none" w:sz="0" w:space="0" w:color="auto"/>
        <w:right w:val="none" w:sz="0" w:space="0" w:color="auto"/>
      </w:divBdr>
    </w:div>
    <w:div w:id="657346629">
      <w:bodyDiv w:val="1"/>
      <w:marLeft w:val="0"/>
      <w:marRight w:val="0"/>
      <w:marTop w:val="0"/>
      <w:marBottom w:val="0"/>
      <w:divBdr>
        <w:top w:val="none" w:sz="0" w:space="0" w:color="auto"/>
        <w:left w:val="none" w:sz="0" w:space="0" w:color="auto"/>
        <w:bottom w:val="none" w:sz="0" w:space="0" w:color="auto"/>
        <w:right w:val="none" w:sz="0" w:space="0" w:color="auto"/>
      </w:divBdr>
    </w:div>
    <w:div w:id="911045056">
      <w:bodyDiv w:val="1"/>
      <w:marLeft w:val="0"/>
      <w:marRight w:val="0"/>
      <w:marTop w:val="0"/>
      <w:marBottom w:val="0"/>
      <w:divBdr>
        <w:top w:val="none" w:sz="0" w:space="0" w:color="auto"/>
        <w:left w:val="none" w:sz="0" w:space="0" w:color="auto"/>
        <w:bottom w:val="none" w:sz="0" w:space="0" w:color="auto"/>
        <w:right w:val="none" w:sz="0" w:space="0" w:color="auto"/>
      </w:divBdr>
    </w:div>
    <w:div w:id="1138841934">
      <w:bodyDiv w:val="1"/>
      <w:marLeft w:val="0"/>
      <w:marRight w:val="0"/>
      <w:marTop w:val="0"/>
      <w:marBottom w:val="0"/>
      <w:divBdr>
        <w:top w:val="none" w:sz="0" w:space="0" w:color="auto"/>
        <w:left w:val="none" w:sz="0" w:space="0" w:color="auto"/>
        <w:bottom w:val="none" w:sz="0" w:space="0" w:color="auto"/>
        <w:right w:val="none" w:sz="0" w:space="0" w:color="auto"/>
      </w:divBdr>
    </w:div>
    <w:div w:id="1550724338">
      <w:bodyDiv w:val="1"/>
      <w:marLeft w:val="0"/>
      <w:marRight w:val="0"/>
      <w:marTop w:val="0"/>
      <w:marBottom w:val="0"/>
      <w:divBdr>
        <w:top w:val="none" w:sz="0" w:space="0" w:color="auto"/>
        <w:left w:val="none" w:sz="0" w:space="0" w:color="auto"/>
        <w:bottom w:val="none" w:sz="0" w:space="0" w:color="auto"/>
        <w:right w:val="none" w:sz="0" w:space="0" w:color="auto"/>
      </w:divBdr>
      <w:divsChild>
        <w:div w:id="442115901">
          <w:marLeft w:val="0"/>
          <w:marRight w:val="0"/>
          <w:marTop w:val="0"/>
          <w:marBottom w:val="0"/>
          <w:divBdr>
            <w:top w:val="none" w:sz="0" w:space="0" w:color="auto"/>
            <w:left w:val="none" w:sz="0" w:space="0" w:color="auto"/>
            <w:bottom w:val="none" w:sz="0" w:space="0" w:color="auto"/>
            <w:right w:val="none" w:sz="0" w:space="0" w:color="auto"/>
          </w:divBdr>
        </w:div>
        <w:div w:id="1779451479">
          <w:marLeft w:val="0"/>
          <w:marRight w:val="0"/>
          <w:marTop w:val="0"/>
          <w:marBottom w:val="0"/>
          <w:divBdr>
            <w:top w:val="none" w:sz="0" w:space="0" w:color="auto"/>
            <w:left w:val="none" w:sz="0" w:space="0" w:color="auto"/>
            <w:bottom w:val="none" w:sz="0" w:space="0" w:color="auto"/>
            <w:right w:val="none" w:sz="0" w:space="0" w:color="auto"/>
          </w:divBdr>
          <w:divsChild>
            <w:div w:id="1144734087">
              <w:marLeft w:val="0"/>
              <w:marRight w:val="0"/>
              <w:marTop w:val="0"/>
              <w:marBottom w:val="0"/>
              <w:divBdr>
                <w:top w:val="none" w:sz="0" w:space="0" w:color="auto"/>
                <w:left w:val="none" w:sz="0" w:space="0" w:color="auto"/>
                <w:bottom w:val="none" w:sz="0" w:space="0" w:color="auto"/>
                <w:right w:val="none" w:sz="0" w:space="0" w:color="auto"/>
              </w:divBdr>
            </w:div>
            <w:div w:id="1322267748">
              <w:marLeft w:val="0"/>
              <w:marRight w:val="0"/>
              <w:marTop w:val="0"/>
              <w:marBottom w:val="0"/>
              <w:divBdr>
                <w:top w:val="none" w:sz="0" w:space="0" w:color="auto"/>
                <w:left w:val="none" w:sz="0" w:space="0" w:color="auto"/>
                <w:bottom w:val="none" w:sz="0" w:space="0" w:color="auto"/>
                <w:right w:val="none" w:sz="0" w:space="0" w:color="auto"/>
              </w:divBdr>
            </w:div>
            <w:div w:id="1863321546">
              <w:marLeft w:val="0"/>
              <w:marRight w:val="0"/>
              <w:marTop w:val="0"/>
              <w:marBottom w:val="0"/>
              <w:divBdr>
                <w:top w:val="none" w:sz="0" w:space="0" w:color="auto"/>
                <w:left w:val="none" w:sz="0" w:space="0" w:color="auto"/>
                <w:bottom w:val="none" w:sz="0" w:space="0" w:color="auto"/>
                <w:right w:val="none" w:sz="0" w:space="0" w:color="auto"/>
              </w:divBdr>
            </w:div>
          </w:divsChild>
        </w:div>
        <w:div w:id="2085294235">
          <w:marLeft w:val="0"/>
          <w:marRight w:val="0"/>
          <w:marTop w:val="0"/>
          <w:marBottom w:val="0"/>
          <w:divBdr>
            <w:top w:val="none" w:sz="0" w:space="0" w:color="auto"/>
            <w:left w:val="none" w:sz="0" w:space="0" w:color="auto"/>
            <w:bottom w:val="none" w:sz="0" w:space="0" w:color="auto"/>
            <w:right w:val="none" w:sz="0" w:space="0" w:color="auto"/>
          </w:divBdr>
          <w:divsChild>
            <w:div w:id="198399049">
              <w:marLeft w:val="0"/>
              <w:marRight w:val="0"/>
              <w:marTop w:val="0"/>
              <w:marBottom w:val="0"/>
              <w:divBdr>
                <w:top w:val="none" w:sz="0" w:space="0" w:color="auto"/>
                <w:left w:val="none" w:sz="0" w:space="0" w:color="auto"/>
                <w:bottom w:val="none" w:sz="0" w:space="0" w:color="auto"/>
                <w:right w:val="none" w:sz="0" w:space="0" w:color="auto"/>
              </w:divBdr>
            </w:div>
            <w:div w:id="389035415">
              <w:marLeft w:val="0"/>
              <w:marRight w:val="0"/>
              <w:marTop w:val="0"/>
              <w:marBottom w:val="0"/>
              <w:divBdr>
                <w:top w:val="none" w:sz="0" w:space="0" w:color="auto"/>
                <w:left w:val="none" w:sz="0" w:space="0" w:color="auto"/>
                <w:bottom w:val="none" w:sz="0" w:space="0" w:color="auto"/>
                <w:right w:val="none" w:sz="0" w:space="0" w:color="auto"/>
              </w:divBdr>
            </w:div>
            <w:div w:id="511843190">
              <w:marLeft w:val="0"/>
              <w:marRight w:val="0"/>
              <w:marTop w:val="0"/>
              <w:marBottom w:val="0"/>
              <w:divBdr>
                <w:top w:val="none" w:sz="0" w:space="0" w:color="auto"/>
                <w:left w:val="none" w:sz="0" w:space="0" w:color="auto"/>
                <w:bottom w:val="none" w:sz="0" w:space="0" w:color="auto"/>
                <w:right w:val="none" w:sz="0" w:space="0" w:color="auto"/>
              </w:divBdr>
            </w:div>
            <w:div w:id="17998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psu.edu/child-care-subsid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4a29b5-897b-49f5-b520-9deeef7e0423" xsi:nil="true"/>
    <lcf76f155ced4ddcb4097134ff3c332f xmlns="7e17a1dd-e206-49c7-b71b-07502658cf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9FC037F81D14FAC1245E47AA529A8" ma:contentTypeVersion="14" ma:contentTypeDescription="Create a new document." ma:contentTypeScope="" ma:versionID="8e8b8d53c3671bf7a851be90a9ae0d42">
  <xsd:schema xmlns:xsd="http://www.w3.org/2001/XMLSchema" xmlns:xs="http://www.w3.org/2001/XMLSchema" xmlns:p="http://schemas.microsoft.com/office/2006/metadata/properties" xmlns:ns2="7e17a1dd-e206-49c7-b71b-07502658cf14" xmlns:ns3="9e4a29b5-897b-49f5-b520-9deeef7e0423" targetNamespace="http://schemas.microsoft.com/office/2006/metadata/properties" ma:root="true" ma:fieldsID="3dd561ee9d9309f0d33ef2c6b947308e" ns2:_="" ns3:_="">
    <xsd:import namespace="7e17a1dd-e206-49c7-b71b-07502658cf14"/>
    <xsd:import namespace="9e4a29b5-897b-49f5-b520-9deeef7e04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a1dd-e206-49c7-b71b-07502658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4a29b5-897b-49f5-b520-9deeef7e04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e17267-f1c9-4026-94de-0c1d45c24436}" ma:internalName="TaxCatchAll" ma:showField="CatchAllData" ma:web="9e4a29b5-897b-49f5-b520-9deeef7e0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1912-3DA1-49B9-B497-5A951545F25D}">
  <ds:schemaRefs>
    <ds:schemaRef ds:uri="http://schemas.microsoft.com/sharepoint/v3/contenttype/forms"/>
  </ds:schemaRefs>
</ds:datastoreItem>
</file>

<file path=customXml/itemProps2.xml><?xml version="1.0" encoding="utf-8"?>
<ds:datastoreItem xmlns:ds="http://schemas.openxmlformats.org/officeDocument/2006/customXml" ds:itemID="{2A176F69-7C13-434A-991D-6FC649685464}">
  <ds:schemaRefs>
    <ds:schemaRef ds:uri="http://schemas.microsoft.com/office/2006/metadata/properties"/>
    <ds:schemaRef ds:uri="http://schemas.microsoft.com/office/infopath/2007/PartnerControls"/>
    <ds:schemaRef ds:uri="9e4a29b5-897b-49f5-b520-9deeef7e0423"/>
    <ds:schemaRef ds:uri="7e17a1dd-e206-49c7-b71b-07502658cf14"/>
  </ds:schemaRefs>
</ds:datastoreItem>
</file>

<file path=customXml/itemProps3.xml><?xml version="1.0" encoding="utf-8"?>
<ds:datastoreItem xmlns:ds="http://schemas.openxmlformats.org/officeDocument/2006/customXml" ds:itemID="{BB79B654-43BC-4EF5-9C3C-E58D6246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a1dd-e206-49c7-b71b-07502658cf14"/>
    <ds:schemaRef ds:uri="9e4a29b5-897b-49f5-b520-9deeef7e0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FF043-8C78-41F8-B72E-5138F565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3077</Words>
  <Characters>17539</Characters>
  <Application>Microsoft Office Word</Application>
  <DocSecurity>0</DocSecurity>
  <Lines>146</Lines>
  <Paragraphs>41</Paragraphs>
  <ScaleCrop>false</ScaleCrop>
  <Company>The Pennsylvania State University</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Dowhower</dc:creator>
  <cp:keywords/>
  <cp:lastModifiedBy>Murphy, Dan</cp:lastModifiedBy>
  <cp:revision>3</cp:revision>
  <dcterms:created xsi:type="dcterms:W3CDTF">2023-11-04T16:51:00Z</dcterms:created>
  <dcterms:modified xsi:type="dcterms:W3CDTF">2023-11-04T16:52:00Z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0x01010041E9FC037F81D14FAC1245E47AA529A8</vt:lpwstr>
  </property>
  <property fmtid="{D5CDD505-2E9C-101B-9397-08002B2CF9AE}" pid="3" name="MediaServiceImageTags">
    <vt:lpwstr/>
  </property>
</Properties>
</file>